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3FE50">
      <w:pPr>
        <w:autoSpaceDE w:val="0"/>
        <w:autoSpaceDN w:val="0"/>
        <w:adjustRightInd w:val="0"/>
        <w:rPr>
          <w:b/>
          <w:bCs/>
          <w:kern w:val="0"/>
          <w:sz w:val="30"/>
          <w:szCs w:val="30"/>
        </w:rPr>
      </w:pPr>
      <w:r>
        <w:rPr>
          <w:b/>
          <w:bCs/>
          <w:kern w:val="0"/>
          <w:sz w:val="30"/>
          <w:szCs w:val="30"/>
        </w:rPr>
        <w:t>UDC</w:t>
      </w:r>
    </w:p>
    <w:p w14:paraId="7533FE51">
      <w:pPr>
        <w:wordWrap w:val="0"/>
        <w:autoSpaceDE w:val="0"/>
        <w:autoSpaceDN w:val="0"/>
        <w:adjustRightInd w:val="0"/>
        <w:jc w:val="right"/>
        <w:rPr>
          <w:rFonts w:eastAsia="黑体"/>
          <w:color w:val="000000" w:themeColor="text1"/>
          <w:kern w:val="0"/>
          <w:sz w:val="36"/>
          <w:szCs w:val="36"/>
          <w14:textFill>
            <w14:solidFill>
              <w14:schemeClr w14:val="tx1"/>
            </w14:solidFill>
          </w14:textFill>
        </w:rPr>
      </w:pPr>
      <w:r>
        <w:rPr>
          <w:rFonts w:eastAsia="黑体"/>
          <w:color w:val="000000" w:themeColor="text1"/>
          <w:kern w:val="0"/>
          <w:sz w:val="36"/>
          <w:szCs w:val="36"/>
          <w14:textFill>
            <w14:solidFill>
              <w14:schemeClr w14:val="tx1"/>
            </w14:solidFill>
          </w14:textFill>
        </w:rPr>
        <w:t>中华人民共和国国家标准</w:t>
      </w:r>
      <w:r>
        <w:rPr>
          <w:rFonts w:hint="eastAsia" w:eastAsia="黑体"/>
          <w:color w:val="000000" w:themeColor="text1"/>
          <w:kern w:val="0"/>
          <w:sz w:val="36"/>
          <w:szCs w:val="36"/>
          <w14:textFill>
            <w14:solidFill>
              <w14:schemeClr w14:val="tx1"/>
            </w14:solidFill>
          </w14:textFill>
        </w:rPr>
        <w:t xml:space="preserve">    </w:t>
      </w:r>
      <w:r>
        <w:rPr>
          <w:rFonts w:eastAsia="黑体"/>
          <w:color w:val="000000" w:themeColor="text1"/>
          <w:kern w:val="0"/>
          <w:sz w:val="36"/>
          <w:szCs w:val="36"/>
          <w14:textFill>
            <w14:solidFill>
              <w14:schemeClr w14:val="tx1"/>
            </w14:solidFill>
          </w14:textFill>
        </w:rPr>
        <w:drawing>
          <wp:inline distT="0" distB="0" distL="114300" distR="114300">
            <wp:extent cx="1076960" cy="590550"/>
            <wp:effectExtent l="0" t="0" r="889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a:srcRect r="1682"/>
                    <a:stretch>
                      <a:fillRect/>
                    </a:stretch>
                  </pic:blipFill>
                  <pic:spPr>
                    <a:xfrm>
                      <a:off x="0" y="0"/>
                      <a:ext cx="1076960" cy="590550"/>
                    </a:xfrm>
                    <a:prstGeom prst="rect">
                      <a:avLst/>
                    </a:prstGeom>
                    <a:noFill/>
                    <a:ln>
                      <a:noFill/>
                    </a:ln>
                  </pic:spPr>
                </pic:pic>
              </a:graphicData>
            </a:graphic>
          </wp:inline>
        </w:drawing>
      </w:r>
    </w:p>
    <w:p w14:paraId="7533FE52">
      <w:pPr>
        <w:autoSpaceDE w:val="0"/>
        <w:autoSpaceDN w:val="0"/>
        <w:adjustRightInd w:val="0"/>
        <w:rPr>
          <w:b/>
          <w:bCs/>
          <w:color w:val="000000" w:themeColor="text1"/>
          <w:kern w:val="0"/>
          <w:sz w:val="28"/>
          <w:szCs w:val="28"/>
          <w14:textFill>
            <w14:solidFill>
              <w14:schemeClr w14:val="tx1"/>
            </w14:solidFill>
          </w14:textFill>
        </w:rPr>
      </w:pPr>
      <w:r>
        <w:rPr>
          <w:b/>
          <w:bCs/>
          <w:color w:val="000000" w:themeColor="text1"/>
          <w:kern w:val="0"/>
          <w:sz w:val="24"/>
          <w14:textFill>
            <w14:solidFill>
              <w14:schemeClr w14:val="tx1"/>
            </w14:solidFill>
          </w14:textFill>
        </w:rPr>
        <w:t xml:space="preserve">P                                               </w:t>
      </w:r>
      <w:r>
        <w:rPr>
          <w:b/>
          <w:bCs/>
          <w:color w:val="000000" w:themeColor="text1"/>
          <w:kern w:val="0"/>
          <w:sz w:val="28"/>
          <w:szCs w:val="28"/>
          <w14:textFill>
            <w14:solidFill>
              <w14:schemeClr w14:val="tx1"/>
            </w14:solidFill>
          </w14:textFill>
        </w:rPr>
        <w:t>GB</w:t>
      </w:r>
      <w:r>
        <w:rPr>
          <w:rFonts w:hint="eastAsia"/>
          <w:b/>
          <w:bCs/>
          <w:color w:val="000000" w:themeColor="text1"/>
          <w:kern w:val="0"/>
          <w:sz w:val="28"/>
          <w:szCs w:val="28"/>
          <w14:textFill>
            <w14:solidFill>
              <w14:schemeClr w14:val="tx1"/>
            </w14:solidFill>
          </w14:textFill>
        </w:rPr>
        <w:t>/T</w:t>
      </w:r>
      <w:r>
        <w:rPr>
          <w:b/>
          <w:bCs/>
          <w:color w:val="000000" w:themeColor="text1"/>
          <w:kern w:val="0"/>
          <w:sz w:val="28"/>
          <w:szCs w:val="28"/>
          <w14:textFill>
            <w14:solidFill>
              <w14:schemeClr w14:val="tx1"/>
            </w14:solidFill>
          </w14:textFill>
        </w:rPr>
        <w:t xml:space="preserve"> </w:t>
      </w:r>
      <w:r>
        <w:rPr>
          <w:rFonts w:hint="eastAsia"/>
          <w:b/>
          <w:bCs/>
          <w:color w:val="000000" w:themeColor="text1"/>
          <w:kern w:val="0"/>
          <w:sz w:val="28"/>
          <w:szCs w:val="28"/>
          <w14:textFill>
            <w14:solidFill>
              <w14:schemeClr w14:val="tx1"/>
            </w14:solidFill>
          </w14:textFill>
        </w:rPr>
        <w:t>50164</w:t>
      </w:r>
      <w:r>
        <w:rPr>
          <w:b/>
          <w:bCs/>
          <w:color w:val="000000" w:themeColor="text1"/>
          <w:kern w:val="0"/>
          <w:sz w:val="28"/>
          <w:szCs w:val="28"/>
          <w14:textFill>
            <w14:solidFill>
              <w14:schemeClr w14:val="tx1"/>
            </w14:solidFill>
          </w14:textFill>
        </w:rPr>
        <w:t xml:space="preserve"> – 20</w:t>
      </w:r>
      <w:r>
        <w:rPr>
          <w:rFonts w:hint="eastAsia"/>
          <w:b/>
          <w:bCs/>
          <w:color w:val="000000" w:themeColor="text1"/>
          <w:kern w:val="0"/>
          <w:sz w:val="28"/>
          <w:szCs w:val="28"/>
          <w:lang w:val="en-US" w:eastAsia="zh-CN"/>
          <w14:textFill>
            <w14:solidFill>
              <w14:schemeClr w14:val="tx1"/>
            </w14:solidFill>
          </w14:textFill>
        </w:rPr>
        <w:t>2</w:t>
      </w:r>
      <w:r>
        <w:rPr>
          <w:b/>
          <w:bCs/>
          <w:color w:val="000000" w:themeColor="text1"/>
          <w:kern w:val="0"/>
          <w:sz w:val="28"/>
          <w:szCs w:val="28"/>
          <w14:textFill>
            <w14:solidFill>
              <w14:schemeClr w14:val="tx1"/>
            </w14:solidFill>
          </w14:textFill>
        </w:rPr>
        <w:t>X</w:t>
      </w:r>
    </w:p>
    <w:p w14:paraId="7533FE53">
      <w:pPr>
        <w:autoSpaceDE w:val="0"/>
        <w:autoSpaceDN w:val="0"/>
        <w:adjustRightInd w:val="0"/>
        <w:rPr>
          <w:b/>
          <w:bCs/>
          <w:color w:val="000000" w:themeColor="text1"/>
          <w:kern w:val="0"/>
          <w:sz w:val="28"/>
          <w:szCs w:val="28"/>
          <w14:textFill>
            <w14:solidFill>
              <w14:schemeClr w14:val="tx1"/>
            </w14:solidFill>
          </w14:textFill>
        </w:rPr>
      </w:pPr>
      <w:r>
        <w:rPr>
          <w:b/>
          <w:bCs/>
          <w:color w:val="000000" w:themeColor="text1"/>
          <w:kern w:val="0"/>
          <w:sz w:val="24"/>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-125730</wp:posOffset>
                </wp:positionH>
                <wp:positionV relativeFrom="paragraph">
                  <wp:posOffset>55245</wp:posOffset>
                </wp:positionV>
                <wp:extent cx="5666740" cy="0"/>
                <wp:effectExtent l="0" t="9525" r="10160" b="9525"/>
                <wp:wrapNone/>
                <wp:docPr id="2" name="直接连接符 2"/>
                <wp:cNvGraphicFramePr/>
                <a:graphic xmlns:a="http://schemas.openxmlformats.org/drawingml/2006/main">
                  <a:graphicData uri="http://schemas.microsoft.com/office/word/2010/wordprocessingShape">
                    <wps:wsp>
                      <wps:cNvCnPr/>
                      <wps:spPr>
                        <a:xfrm flipV="1">
                          <a:off x="0" y="0"/>
                          <a:ext cx="566674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9.9pt;margin-top:4.35pt;height:0pt;width:446.2pt;z-index:251660288;mso-width-relative:page;mso-height-relative:page;" filled="f" stroked="t" coordsize="21600,21600" o:gfxdata="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7wk3f1AAAAAcBAAAPAAAAAAAAAAEAIAAAACIAAABkcnMvZG93bnJldi54bWxQSwECFAAUAAAA&#10;CACHTuJAZxcCxfIBAADjAwAADgAAAAAAAAABACAAAAAjAQAAZHJzL2Uyb0RvYy54bWxQSwUGAAAA&#10;AAYABgBZAQAAhwUAAAAA&#10;">
                <v:fill on="f" focussize="0,0"/>
                <v:stroke weight="1.5pt" color="#000000" joinstyle="round"/>
                <v:imagedata o:title=""/>
                <o:lock v:ext="edit" aspectratio="f"/>
              </v:line>
            </w:pict>
          </mc:Fallback>
        </mc:AlternateContent>
      </w:r>
    </w:p>
    <w:p w14:paraId="7533FE54">
      <w:pPr>
        <w:autoSpaceDE w:val="0"/>
        <w:autoSpaceDN w:val="0"/>
        <w:adjustRightInd w:val="0"/>
        <w:rPr>
          <w:b/>
          <w:bCs/>
          <w:color w:val="000000" w:themeColor="text1"/>
          <w:kern w:val="0"/>
          <w:sz w:val="28"/>
          <w:szCs w:val="28"/>
          <w14:textFill>
            <w14:solidFill>
              <w14:schemeClr w14:val="tx1"/>
            </w14:solidFill>
          </w14:textFill>
        </w:rPr>
      </w:pPr>
    </w:p>
    <w:p w14:paraId="7533FE55">
      <w:pPr>
        <w:pStyle w:val="38"/>
        <w:spacing w:beforeLines="0" w:afterLines="0"/>
        <w:outlineLvl w:val="9"/>
        <w:rPr>
          <w:rFonts w:eastAsia="黑体"/>
          <w:color w:val="000000" w:themeColor="text1"/>
          <w:w w:val="95"/>
          <w:sz w:val="48"/>
          <w14:textFill>
            <w14:solidFill>
              <w14:schemeClr w14:val="tx1"/>
            </w14:solidFill>
          </w14:textFill>
        </w:rPr>
      </w:pPr>
      <w:r>
        <w:rPr>
          <w:rFonts w:hint="eastAsia" w:eastAsia="黑体"/>
          <w:color w:val="000000" w:themeColor="text1"/>
          <w:w w:val="95"/>
          <w:sz w:val="48"/>
          <w14:textFill>
            <w14:solidFill>
              <w14:schemeClr w14:val="tx1"/>
            </w14:solidFill>
          </w14:textFill>
        </w:rPr>
        <w:t>混凝土质量控制标准</w:t>
      </w:r>
    </w:p>
    <w:p w14:paraId="7533FE56">
      <w:pPr>
        <w:autoSpaceDE w:val="0"/>
        <w:autoSpaceDN w:val="0"/>
        <w:adjustRightInd w:val="0"/>
        <w:jc w:val="center"/>
        <w:rPr>
          <w:b/>
          <w:bCs/>
          <w:color w:val="000000" w:themeColor="text1"/>
          <w:kern w:val="0"/>
          <w:sz w:val="32"/>
          <w:szCs w:val="32"/>
          <w14:textFill>
            <w14:solidFill>
              <w14:schemeClr w14:val="tx1"/>
            </w14:solidFill>
          </w14:textFill>
        </w:rPr>
      </w:pPr>
      <w:r>
        <w:rPr>
          <w:rFonts w:hint="eastAsia" w:eastAsia="黑体"/>
          <w:color w:val="000000" w:themeColor="text1"/>
          <w:w w:val="95"/>
          <w:sz w:val="32"/>
          <w:szCs w:val="32"/>
          <w14:textFill>
            <w14:solidFill>
              <w14:schemeClr w14:val="tx1"/>
            </w14:solidFill>
          </w14:textFill>
        </w:rPr>
        <w:t>Standard for quality control of concrete</w:t>
      </w:r>
    </w:p>
    <w:p w14:paraId="7533FE57">
      <w:pPr>
        <w:autoSpaceDE w:val="0"/>
        <w:autoSpaceDN w:val="0"/>
        <w:adjustRightInd w:val="0"/>
        <w:jc w:val="center"/>
        <w:rPr>
          <w:b/>
          <w:color w:val="000000" w:themeColor="text1"/>
          <w:kern w:val="0"/>
          <w:sz w:val="36"/>
          <w:szCs w:val="36"/>
          <w14:textFill>
            <w14:solidFill>
              <w14:schemeClr w14:val="tx1"/>
            </w14:solidFill>
          </w14:textFill>
        </w:rPr>
      </w:pPr>
    </w:p>
    <w:p w14:paraId="7533FE58">
      <w:pPr>
        <w:autoSpaceDE w:val="0"/>
        <w:autoSpaceDN w:val="0"/>
        <w:adjustRightInd w:val="0"/>
        <w:jc w:val="center"/>
        <w:rPr>
          <w:rFonts w:hint="eastAsia" w:ascii="宋体" w:hAnsi="宋体" w:eastAsia="宋体" w:cs="宋体"/>
          <w:b/>
          <w:bCs/>
          <w:color w:val="000000" w:themeColor="text1"/>
          <w:kern w:val="0"/>
          <w:sz w:val="32"/>
          <w:szCs w:val="32"/>
          <w14:textFill>
            <w14:solidFill>
              <w14:schemeClr w14:val="tx1"/>
            </w14:solidFill>
          </w14:textFill>
        </w:rPr>
      </w:pPr>
      <w:r>
        <w:rPr>
          <w:rFonts w:hint="eastAsia" w:ascii="宋体" w:hAnsi="宋体" w:eastAsia="宋体" w:cs="宋体"/>
          <w:b/>
          <w:bCs/>
          <w:color w:val="000000" w:themeColor="text1"/>
          <w:kern w:val="0"/>
          <w:sz w:val="32"/>
          <w:szCs w:val="32"/>
          <w14:textFill>
            <w14:solidFill>
              <w14:schemeClr w14:val="tx1"/>
            </w14:solidFill>
          </w14:textFill>
        </w:rPr>
        <w:t>(修订征求意见稿）</w:t>
      </w:r>
    </w:p>
    <w:p w14:paraId="7533FE59">
      <w:pPr>
        <w:autoSpaceDE w:val="0"/>
        <w:autoSpaceDN w:val="0"/>
        <w:adjustRightInd w:val="0"/>
        <w:rPr>
          <w:rFonts w:hint="eastAsia" w:ascii="宋体" w:hAnsi="宋体" w:eastAsia="宋体" w:cs="宋体"/>
          <w:color w:val="000000" w:themeColor="text1"/>
          <w:kern w:val="0"/>
          <w:sz w:val="32"/>
          <w:szCs w:val="32"/>
          <w14:textFill>
            <w14:solidFill>
              <w14:schemeClr w14:val="tx1"/>
            </w14:solidFill>
          </w14:textFill>
        </w:rPr>
      </w:pPr>
    </w:p>
    <w:p w14:paraId="7533FE5A">
      <w:pPr>
        <w:autoSpaceDE w:val="0"/>
        <w:autoSpaceDN w:val="0"/>
        <w:adjustRightInd w:val="0"/>
        <w:rPr>
          <w:rFonts w:hint="eastAsia" w:ascii="宋体" w:hAnsi="宋体" w:eastAsia="宋体" w:cs="宋体"/>
          <w:color w:val="000000" w:themeColor="text1"/>
          <w:kern w:val="0"/>
          <w:sz w:val="32"/>
          <w:szCs w:val="32"/>
          <w14:textFill>
            <w14:solidFill>
              <w14:schemeClr w14:val="tx1"/>
            </w14:solidFill>
          </w14:textFill>
        </w:rPr>
      </w:pPr>
    </w:p>
    <w:p w14:paraId="7533FE5B">
      <w:pPr>
        <w:autoSpaceDE w:val="0"/>
        <w:autoSpaceDN w:val="0"/>
        <w:adjustRightInd w:val="0"/>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sz w:val="28"/>
          <w:szCs w:val="28"/>
          <w:lang w:val="en-US" w:eastAsia="zh-CN"/>
        </w:rPr>
        <w:t>在提交反馈意见时，请将您知道的相关专利连同支持性文件一并附上。</w:t>
      </w:r>
    </w:p>
    <w:p w14:paraId="7533FE5C">
      <w:pPr>
        <w:autoSpaceDE w:val="0"/>
        <w:autoSpaceDN w:val="0"/>
        <w:adjustRightInd w:val="0"/>
        <w:rPr>
          <w:color w:val="000000" w:themeColor="text1"/>
          <w:kern w:val="0"/>
          <w:sz w:val="28"/>
          <w:szCs w:val="28"/>
          <w14:textFill>
            <w14:solidFill>
              <w14:schemeClr w14:val="tx1"/>
            </w14:solidFill>
          </w14:textFill>
        </w:rPr>
      </w:pPr>
    </w:p>
    <w:p w14:paraId="7533FE5D">
      <w:pPr>
        <w:autoSpaceDE w:val="0"/>
        <w:autoSpaceDN w:val="0"/>
        <w:adjustRightInd w:val="0"/>
        <w:rPr>
          <w:color w:val="000000" w:themeColor="text1"/>
          <w:kern w:val="0"/>
          <w:sz w:val="28"/>
          <w:szCs w:val="28"/>
          <w14:textFill>
            <w14:solidFill>
              <w14:schemeClr w14:val="tx1"/>
            </w14:solidFill>
          </w14:textFill>
        </w:rPr>
      </w:pPr>
    </w:p>
    <w:p w14:paraId="680775F2">
      <w:pPr>
        <w:autoSpaceDE w:val="0"/>
        <w:autoSpaceDN w:val="0"/>
        <w:adjustRightInd w:val="0"/>
        <w:rPr>
          <w:color w:val="000000" w:themeColor="text1"/>
          <w:kern w:val="0"/>
          <w:sz w:val="28"/>
          <w:szCs w:val="28"/>
          <w14:textFill>
            <w14:solidFill>
              <w14:schemeClr w14:val="tx1"/>
            </w14:solidFill>
          </w14:textFill>
        </w:rPr>
      </w:pPr>
    </w:p>
    <w:p w14:paraId="0DE6E990">
      <w:pPr>
        <w:autoSpaceDE w:val="0"/>
        <w:autoSpaceDN w:val="0"/>
        <w:adjustRightInd w:val="0"/>
        <w:rPr>
          <w:color w:val="000000" w:themeColor="text1"/>
          <w:kern w:val="0"/>
          <w:sz w:val="28"/>
          <w:szCs w:val="28"/>
          <w14:textFill>
            <w14:solidFill>
              <w14:schemeClr w14:val="tx1"/>
            </w14:solidFill>
          </w14:textFill>
        </w:rPr>
      </w:pPr>
    </w:p>
    <w:p w14:paraId="7533FE5E">
      <w:pPr>
        <w:autoSpaceDE w:val="0"/>
        <w:autoSpaceDN w:val="0"/>
        <w:adjustRightInd w:val="0"/>
        <w:rPr>
          <w:color w:val="000000" w:themeColor="text1"/>
          <w:kern w:val="0"/>
          <w:sz w:val="28"/>
          <w:szCs w:val="28"/>
          <w14:textFill>
            <w14:solidFill>
              <w14:schemeClr w14:val="tx1"/>
            </w14:solidFill>
          </w14:textFill>
        </w:rPr>
      </w:pPr>
    </w:p>
    <w:p w14:paraId="7533FE5F">
      <w:pPr>
        <w:autoSpaceDE w:val="0"/>
        <w:autoSpaceDN w:val="0"/>
        <w:adjustRightInd w:val="0"/>
        <w:spacing w:after="312" w:afterLines="100"/>
        <w:rPr>
          <w:rFonts w:eastAsia="黑体"/>
          <w:color w:val="000000" w:themeColor="text1"/>
          <w:kern w:val="0"/>
          <w:sz w:val="28"/>
          <w:szCs w:val="28"/>
          <w14:textFill>
            <w14:solidFill>
              <w14:schemeClr w14:val="tx1"/>
            </w14:solidFill>
          </w14:textFill>
        </w:rPr>
      </w:pPr>
      <w:r>
        <w:rPr>
          <w:b/>
          <w:bCs/>
          <w:color w:val="000000" w:themeColor="text1"/>
          <w:kern w:val="0"/>
          <w:sz w:val="24"/>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369570</wp:posOffset>
                </wp:positionV>
                <wp:extent cx="5666740" cy="0"/>
                <wp:effectExtent l="0" t="9525" r="10160" b="9525"/>
                <wp:wrapNone/>
                <wp:docPr id="1" name="直接连接符 1"/>
                <wp:cNvGraphicFramePr/>
                <a:graphic xmlns:a="http://schemas.openxmlformats.org/drawingml/2006/main">
                  <a:graphicData uri="http://schemas.microsoft.com/office/word/2010/wordprocessingShape">
                    <wps:wsp>
                      <wps:cNvCnPr/>
                      <wps:spPr>
                        <a:xfrm flipV="1">
                          <a:off x="0" y="0"/>
                          <a:ext cx="566674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9.05pt;margin-top:29.1pt;height:0pt;width:446.2pt;z-index:251661312;mso-width-relative:page;mso-height-relative:page;" filled="f" stroked="t" coordsize="21600,21600" o:gfxdata="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9CZvnXAAAACQEAAA8AAAAAAAAAAQAgAAAAIgAAAGRycy9kb3ducmV2LnhtbFBLAQIUABQA&#10;AAAIAIdO4kAZH+PU8QEAAOMDAAAOAAAAAAAAAAEAIAAAACYBAABkcnMvZTJvRG9jLnhtbFBLBQYA&#10;AAAABgAGAFkBAACJBQAAAAA=&#10;">
                <v:fill on="f" focussize="0,0"/>
                <v:stroke weight="1.5pt" color="#000000" joinstyle="round"/>
                <v:imagedata o:title=""/>
                <o:lock v:ext="edit" aspectratio="f"/>
              </v:line>
            </w:pict>
          </mc:Fallback>
        </mc:AlternateContent>
      </w:r>
      <w:r>
        <w:rPr>
          <w:rFonts w:eastAsia="黑体"/>
          <w:color w:val="000000" w:themeColor="text1"/>
          <w:kern w:val="0"/>
          <w:sz w:val="28"/>
          <w:szCs w:val="28"/>
          <w14:textFill>
            <w14:solidFill>
              <w14:schemeClr w14:val="tx1"/>
            </w14:solidFill>
          </w14:textFill>
        </w:rPr>
        <w:t>20</w:t>
      </w:r>
      <w:r>
        <w:rPr>
          <w:rFonts w:hint="eastAsia" w:eastAsia="黑体"/>
          <w:color w:val="000000" w:themeColor="text1"/>
          <w:kern w:val="0"/>
          <w:sz w:val="28"/>
          <w:szCs w:val="28"/>
          <w:lang w:val="en-US" w:eastAsia="zh-CN"/>
          <w14:textFill>
            <w14:solidFill>
              <w14:schemeClr w14:val="tx1"/>
            </w14:solidFill>
          </w14:textFill>
        </w:rPr>
        <w:t>2</w:t>
      </w:r>
      <w:r>
        <w:rPr>
          <w:rFonts w:eastAsia="黑体"/>
          <w:color w:val="000000" w:themeColor="text1"/>
          <w:kern w:val="0"/>
          <w:sz w:val="28"/>
          <w:szCs w:val="28"/>
          <w14:textFill>
            <w14:solidFill>
              <w14:schemeClr w14:val="tx1"/>
            </w14:solidFill>
          </w14:textFill>
        </w:rPr>
        <w:t>X– XX</w:t>
      </w:r>
      <w:bookmarkStart w:id="234" w:name="_GoBack"/>
      <w:bookmarkEnd w:id="234"/>
      <w:r>
        <w:rPr>
          <w:rFonts w:eastAsia="黑体"/>
          <w:color w:val="000000" w:themeColor="text1"/>
          <w:kern w:val="0"/>
          <w:sz w:val="28"/>
          <w:szCs w:val="28"/>
          <w14:textFill>
            <w14:solidFill>
              <w14:schemeClr w14:val="tx1"/>
            </w14:solidFill>
          </w14:textFill>
        </w:rPr>
        <w:t xml:space="preserve"> –XX 发布                    </w:t>
      </w:r>
      <w:r>
        <w:rPr>
          <w:rFonts w:hint="eastAsia" w:eastAsia="黑体"/>
          <w:color w:val="000000" w:themeColor="text1"/>
          <w:kern w:val="0"/>
          <w:sz w:val="28"/>
          <w:szCs w:val="28"/>
          <w14:textFill>
            <w14:solidFill>
              <w14:schemeClr w14:val="tx1"/>
            </w14:solidFill>
          </w14:textFill>
        </w:rPr>
        <w:t xml:space="preserve">  </w:t>
      </w:r>
      <w:r>
        <w:rPr>
          <w:rFonts w:eastAsia="黑体"/>
          <w:color w:val="000000" w:themeColor="text1"/>
          <w:kern w:val="0"/>
          <w:sz w:val="28"/>
          <w:szCs w:val="28"/>
          <w14:textFill>
            <w14:solidFill>
              <w14:schemeClr w14:val="tx1"/>
            </w14:solidFill>
          </w14:textFill>
        </w:rPr>
        <w:t>20</w:t>
      </w:r>
      <w:r>
        <w:rPr>
          <w:rFonts w:hint="eastAsia" w:eastAsia="黑体"/>
          <w:color w:val="000000" w:themeColor="text1"/>
          <w:kern w:val="0"/>
          <w:sz w:val="28"/>
          <w:szCs w:val="28"/>
          <w:lang w:val="en-US" w:eastAsia="zh-CN"/>
          <w14:textFill>
            <w14:solidFill>
              <w14:schemeClr w14:val="tx1"/>
            </w14:solidFill>
          </w14:textFill>
        </w:rPr>
        <w:t>2</w:t>
      </w:r>
      <w:r>
        <w:rPr>
          <w:rFonts w:eastAsia="黑体"/>
          <w:color w:val="000000" w:themeColor="text1"/>
          <w:kern w:val="0"/>
          <w:sz w:val="28"/>
          <w:szCs w:val="28"/>
          <w14:textFill>
            <w14:solidFill>
              <w14:schemeClr w14:val="tx1"/>
            </w14:solidFill>
          </w14:textFill>
        </w:rPr>
        <w:t>X – XX –</w:t>
      </w:r>
      <w:r>
        <w:rPr>
          <w:rFonts w:hint="eastAsia" w:eastAsia="黑体"/>
          <w:color w:val="000000" w:themeColor="text1"/>
          <w:kern w:val="0"/>
          <w:sz w:val="28"/>
          <w:szCs w:val="28"/>
          <w:lang w:val="en-US" w:eastAsia="zh-CN"/>
          <w14:textFill>
            <w14:solidFill>
              <w14:schemeClr w14:val="tx1"/>
            </w14:solidFill>
          </w14:textFill>
        </w:rPr>
        <w:t>XX</w:t>
      </w:r>
      <w:r>
        <w:rPr>
          <w:rFonts w:eastAsia="黑体"/>
          <w:color w:val="000000" w:themeColor="text1"/>
          <w:kern w:val="0"/>
          <w:sz w:val="28"/>
          <w:szCs w:val="28"/>
          <w14:textFill>
            <w14:solidFill>
              <w14:schemeClr w14:val="tx1"/>
            </w14:solidFill>
          </w14:textFill>
        </w:rPr>
        <w:t xml:space="preserve"> 实施</w:t>
      </w:r>
    </w:p>
    <w:tbl>
      <w:tblPr>
        <w:tblStyle w:val="16"/>
        <w:tblW w:w="0" w:type="auto"/>
        <w:tblInd w:w="0" w:type="dxa"/>
        <w:tblLayout w:type="fixed"/>
        <w:tblCellMar>
          <w:top w:w="0" w:type="dxa"/>
          <w:left w:w="108" w:type="dxa"/>
          <w:bottom w:w="0" w:type="dxa"/>
          <w:right w:w="108" w:type="dxa"/>
        </w:tblCellMar>
      </w:tblPr>
      <w:tblGrid>
        <w:gridCol w:w="5958"/>
        <w:gridCol w:w="2806"/>
      </w:tblGrid>
      <w:tr w14:paraId="7533FE62">
        <w:tblPrEx>
          <w:tblCellMar>
            <w:top w:w="0" w:type="dxa"/>
            <w:left w:w="108" w:type="dxa"/>
            <w:bottom w:w="0" w:type="dxa"/>
            <w:right w:w="108" w:type="dxa"/>
          </w:tblCellMar>
        </w:tblPrEx>
        <w:tc>
          <w:tcPr>
            <w:tcW w:w="5958" w:type="dxa"/>
          </w:tcPr>
          <w:p w14:paraId="7533FE60">
            <w:pPr>
              <w:autoSpaceDE w:val="0"/>
              <w:autoSpaceDN w:val="0"/>
              <w:adjustRightInd w:val="0"/>
              <w:ind w:firstLine="90" w:firstLineChars="25"/>
              <w:jc w:val="center"/>
              <w:rPr>
                <w:color w:val="000000" w:themeColor="text1"/>
                <w:spacing w:val="40"/>
                <w:kern w:val="0"/>
                <w:sz w:val="28"/>
                <w:szCs w:val="28"/>
                <w14:textFill>
                  <w14:solidFill>
                    <w14:schemeClr w14:val="tx1"/>
                  </w14:solidFill>
                </w14:textFill>
              </w:rPr>
            </w:pPr>
            <w:r>
              <w:rPr>
                <w:rFonts w:eastAsia="黑体"/>
                <w:color w:val="000000" w:themeColor="text1"/>
                <w:spacing w:val="40"/>
                <w:kern w:val="0"/>
                <w:sz w:val="28"/>
                <w:szCs w:val="28"/>
                <w14:textFill>
                  <w14:solidFill>
                    <w14:schemeClr w14:val="tx1"/>
                  </w14:solidFill>
                </w14:textFill>
              </w:rPr>
              <w:t>中华人民共和国住房</w:t>
            </w:r>
            <w:r>
              <w:rPr>
                <w:rFonts w:hint="eastAsia" w:eastAsia="黑体"/>
                <w:color w:val="000000" w:themeColor="text1"/>
                <w:spacing w:val="40"/>
                <w:kern w:val="0"/>
                <w:sz w:val="28"/>
                <w:szCs w:val="28"/>
                <w14:textFill>
                  <w14:solidFill>
                    <w14:schemeClr w14:val="tx1"/>
                  </w14:solidFill>
                </w14:textFill>
              </w:rPr>
              <w:t>和</w:t>
            </w:r>
            <w:r>
              <w:rPr>
                <w:rFonts w:eastAsia="黑体"/>
                <w:color w:val="000000" w:themeColor="text1"/>
                <w:spacing w:val="40"/>
                <w:kern w:val="0"/>
                <w:sz w:val="28"/>
                <w:szCs w:val="28"/>
                <w14:textFill>
                  <w14:solidFill>
                    <w14:schemeClr w14:val="tx1"/>
                  </w14:solidFill>
                </w14:textFill>
              </w:rPr>
              <w:t>城乡建设部</w:t>
            </w:r>
          </w:p>
        </w:tc>
        <w:tc>
          <w:tcPr>
            <w:tcW w:w="2806" w:type="dxa"/>
            <w:vMerge w:val="restart"/>
            <w:vAlign w:val="center"/>
          </w:tcPr>
          <w:p w14:paraId="7533FE61">
            <w:pPr>
              <w:autoSpaceDE w:val="0"/>
              <w:autoSpaceDN w:val="0"/>
              <w:adjustRightInd w:val="0"/>
              <w:jc w:val="center"/>
              <w:rPr>
                <w:color w:val="000000" w:themeColor="text1"/>
                <w:kern w:val="0"/>
                <w:sz w:val="28"/>
                <w:szCs w:val="28"/>
                <w14:textFill>
                  <w14:solidFill>
                    <w14:schemeClr w14:val="tx1"/>
                  </w14:solidFill>
                </w14:textFill>
              </w:rPr>
            </w:pPr>
            <w:r>
              <w:rPr>
                <w:rFonts w:eastAsia="黑体"/>
                <w:color w:val="000000" w:themeColor="text1"/>
                <w:kern w:val="0"/>
                <w:sz w:val="28"/>
                <w:szCs w:val="28"/>
                <w14:textFill>
                  <w14:solidFill>
                    <w14:schemeClr w14:val="tx1"/>
                  </w14:solidFill>
                </w14:textFill>
              </w:rPr>
              <w:t>联合发布</w:t>
            </w:r>
          </w:p>
        </w:tc>
      </w:tr>
      <w:tr w14:paraId="7533FE65">
        <w:tblPrEx>
          <w:tblCellMar>
            <w:top w:w="0" w:type="dxa"/>
            <w:left w:w="108" w:type="dxa"/>
            <w:bottom w:w="0" w:type="dxa"/>
            <w:right w:w="108" w:type="dxa"/>
          </w:tblCellMar>
        </w:tblPrEx>
        <w:tc>
          <w:tcPr>
            <w:tcW w:w="5958" w:type="dxa"/>
          </w:tcPr>
          <w:p w14:paraId="7533FE63">
            <w:pPr>
              <w:autoSpaceDE w:val="0"/>
              <w:autoSpaceDN w:val="0"/>
              <w:adjustRightInd w:val="0"/>
              <w:jc w:val="center"/>
              <w:rPr>
                <w:color w:val="000000" w:themeColor="text1"/>
                <w:kern w:val="0"/>
                <w:sz w:val="28"/>
                <w:szCs w:val="28"/>
                <w14:textFill>
                  <w14:solidFill>
                    <w14:schemeClr w14:val="tx1"/>
                  </w14:solidFill>
                </w14:textFill>
              </w:rPr>
            </w:pPr>
            <w:r>
              <w:rPr>
                <w:rFonts w:eastAsia="黑体"/>
                <w:color w:val="000000" w:themeColor="text1"/>
                <w:kern w:val="0"/>
                <w:sz w:val="28"/>
                <w:szCs w:val="28"/>
                <w14:textFill>
                  <w14:solidFill>
                    <w14:schemeClr w14:val="tx1"/>
                  </w14:solidFill>
                </w14:textFill>
              </w:rPr>
              <w:t>中华人民共和国国家质量监督检验检疫总局</w:t>
            </w:r>
          </w:p>
        </w:tc>
        <w:tc>
          <w:tcPr>
            <w:tcW w:w="2806" w:type="dxa"/>
            <w:vMerge w:val="continue"/>
          </w:tcPr>
          <w:p w14:paraId="7533FE64">
            <w:pPr>
              <w:autoSpaceDE w:val="0"/>
              <w:autoSpaceDN w:val="0"/>
              <w:adjustRightInd w:val="0"/>
              <w:rPr>
                <w:color w:val="000000" w:themeColor="text1"/>
                <w:kern w:val="0"/>
                <w:sz w:val="28"/>
                <w:szCs w:val="28"/>
                <w14:textFill>
                  <w14:solidFill>
                    <w14:schemeClr w14:val="tx1"/>
                  </w14:solidFill>
                </w14:textFill>
              </w:rPr>
            </w:pPr>
          </w:p>
        </w:tc>
      </w:tr>
    </w:tbl>
    <w:p w14:paraId="7533FE66">
      <w:pPr>
        <w:tabs>
          <w:tab w:val="left" w:pos="6660"/>
        </w:tabs>
        <w:spacing w:line="360" w:lineRule="auto"/>
        <w:rPr>
          <w:rFonts w:hint="eastAsia" w:hAnsi="宋体"/>
          <w:color w:val="000000" w:themeColor="text1"/>
          <w:sz w:val="24"/>
          <w14:textFill>
            <w14:solidFill>
              <w14:schemeClr w14:val="tx1"/>
            </w14:solidFill>
          </w14:textFill>
        </w:rPr>
        <w:sectPr>
          <w:headerReference r:id="rId3" w:type="default"/>
          <w:headerReference r:id="rId4" w:type="even"/>
          <w:footerReference r:id="rId5" w:type="even"/>
          <w:pgSz w:w="11906" w:h="16838"/>
          <w:pgMar w:top="1440" w:right="1797" w:bottom="1440" w:left="1797" w:header="851" w:footer="992" w:gutter="0"/>
          <w:cols w:space="425" w:num="1"/>
          <w:docGrid w:type="lines" w:linePitch="312" w:charSpace="0"/>
        </w:sectPr>
      </w:pPr>
    </w:p>
    <w:p w14:paraId="7533FE67">
      <w:pPr>
        <w:widowControl/>
        <w:rPr>
          <w:rFonts w:eastAsia="黑体"/>
          <w:color w:val="000000" w:themeColor="text1"/>
          <w:kern w:val="0"/>
          <w:sz w:val="32"/>
          <w:szCs w:val="32"/>
          <w14:textFill>
            <w14:solidFill>
              <w14:schemeClr w14:val="tx1"/>
            </w14:solidFill>
          </w14:textFill>
        </w:rPr>
      </w:pPr>
    </w:p>
    <w:p w14:paraId="7533FEC5">
      <w:pPr>
        <w:topLinePunct/>
        <w:adjustRightInd w:val="0"/>
        <w:snapToGrid w:val="0"/>
        <w:spacing w:line="360" w:lineRule="auto"/>
        <w:jc w:val="center"/>
        <w:rPr>
          <w:rFonts w:ascii="黑体" w:eastAsia="黑体"/>
          <w:sz w:val="32"/>
          <w:szCs w:val="32"/>
        </w:rPr>
      </w:pPr>
      <w:r>
        <w:rPr>
          <w:rFonts w:hint="eastAsia" w:ascii="黑体" w:hAnsi="宋体" w:eastAsia="黑体"/>
          <w:sz w:val="32"/>
          <w:szCs w:val="32"/>
        </w:rPr>
        <w:t>前</w:t>
      </w:r>
      <w:r>
        <w:rPr>
          <w:rFonts w:hint="eastAsia" w:ascii="黑体" w:eastAsia="黑体"/>
          <w:sz w:val="32"/>
          <w:szCs w:val="32"/>
        </w:rPr>
        <w:t xml:space="preserve">  </w:t>
      </w:r>
      <w:r>
        <w:rPr>
          <w:rFonts w:hint="eastAsia" w:ascii="黑体" w:hAnsi="宋体" w:eastAsia="黑体"/>
          <w:sz w:val="32"/>
          <w:szCs w:val="32"/>
        </w:rPr>
        <w:t>言</w:t>
      </w:r>
    </w:p>
    <w:p w14:paraId="7533FEC6">
      <w:pPr>
        <w:topLinePunct/>
        <w:adjustRightInd w:val="0"/>
        <w:snapToGrid w:val="0"/>
        <w:spacing w:line="300" w:lineRule="auto"/>
        <w:ind w:firstLine="420" w:firstLineChars="200"/>
        <w:rPr>
          <w:rFonts w:hint="eastAsia" w:hAnsi="宋体"/>
          <w:szCs w:val="21"/>
        </w:rPr>
      </w:pPr>
      <w:r>
        <w:rPr>
          <w:rFonts w:hint="eastAsia" w:hAnsi="宋体"/>
          <w:szCs w:val="21"/>
        </w:rPr>
        <w:t>根据住房和城乡建设部《关于印发&lt;2024年工程建设规范标准编制及相关工作计划&gt;的通知（建标函〔2024〕41号）的要求，标准编制组经广泛调查研究，认真总结实践经验，参考有关国际标准和国外先进标准，并在广泛征求意见的基础上，编制了本标准。</w:t>
      </w:r>
    </w:p>
    <w:p w14:paraId="7533FEC7">
      <w:pPr>
        <w:topLinePunct/>
        <w:adjustRightInd w:val="0"/>
        <w:snapToGrid w:val="0"/>
        <w:spacing w:line="300" w:lineRule="auto"/>
        <w:ind w:firstLine="420" w:firstLineChars="200"/>
        <w:rPr>
          <w:szCs w:val="21"/>
        </w:rPr>
      </w:pPr>
      <w:r>
        <w:rPr>
          <w:rFonts w:hint="eastAsia" w:hAnsi="宋体"/>
          <w:szCs w:val="21"/>
        </w:rPr>
        <w:t>本标准</w:t>
      </w:r>
      <w:r>
        <w:rPr>
          <w:rFonts w:hAnsi="宋体"/>
          <w:szCs w:val="21"/>
        </w:rPr>
        <w:t>主要技术内容：</w:t>
      </w:r>
      <w:r>
        <w:rPr>
          <w:rFonts w:hint="eastAsia" w:hAnsi="宋体"/>
          <w:szCs w:val="21"/>
        </w:rPr>
        <w:t>1</w:t>
      </w:r>
      <w:r>
        <w:rPr>
          <w:rFonts w:hAnsi="宋体"/>
          <w:szCs w:val="21"/>
        </w:rPr>
        <w:t>总则</w:t>
      </w:r>
      <w:r>
        <w:rPr>
          <w:rFonts w:hint="eastAsia" w:hAnsi="宋体"/>
          <w:szCs w:val="21"/>
        </w:rPr>
        <w:t>；2</w:t>
      </w:r>
      <w:r>
        <w:rPr>
          <w:rFonts w:hAnsi="宋体"/>
          <w:szCs w:val="21"/>
        </w:rPr>
        <w:t>原材料质量控制</w:t>
      </w:r>
      <w:r>
        <w:rPr>
          <w:rFonts w:hint="eastAsia" w:hAnsi="宋体"/>
          <w:szCs w:val="21"/>
        </w:rPr>
        <w:t>；3</w:t>
      </w:r>
      <w:r>
        <w:rPr>
          <w:rFonts w:hAnsi="宋体"/>
          <w:szCs w:val="21"/>
        </w:rPr>
        <w:t>混凝土性能要求</w:t>
      </w:r>
      <w:r>
        <w:rPr>
          <w:rFonts w:hint="eastAsia" w:hAnsi="宋体"/>
          <w:szCs w:val="21"/>
        </w:rPr>
        <w:t>；4</w:t>
      </w:r>
      <w:r>
        <w:rPr>
          <w:rFonts w:hAnsi="宋体"/>
          <w:szCs w:val="21"/>
        </w:rPr>
        <w:t>配合比控制</w:t>
      </w:r>
      <w:r>
        <w:rPr>
          <w:rFonts w:hint="eastAsia" w:hAnsi="宋体"/>
          <w:szCs w:val="21"/>
        </w:rPr>
        <w:t>；5</w:t>
      </w:r>
      <w:r>
        <w:rPr>
          <w:rFonts w:hAnsi="宋体"/>
          <w:szCs w:val="21"/>
        </w:rPr>
        <w:t>生产控制水平</w:t>
      </w:r>
      <w:r>
        <w:rPr>
          <w:rFonts w:hint="eastAsia" w:hAnsi="宋体"/>
          <w:szCs w:val="21"/>
        </w:rPr>
        <w:t>；6</w:t>
      </w:r>
      <w:r>
        <w:rPr>
          <w:rFonts w:hAnsi="宋体"/>
          <w:szCs w:val="21"/>
        </w:rPr>
        <w:t>生产与施工质量控制</w:t>
      </w:r>
      <w:r>
        <w:rPr>
          <w:rFonts w:hint="eastAsia" w:hAnsi="宋体"/>
          <w:szCs w:val="21"/>
        </w:rPr>
        <w:t>；7</w:t>
      </w:r>
      <w:r>
        <w:rPr>
          <w:rFonts w:hAnsi="宋体"/>
          <w:szCs w:val="21"/>
        </w:rPr>
        <w:t>混凝土质量检验</w:t>
      </w:r>
      <w:r>
        <w:rPr>
          <w:rFonts w:hint="eastAsia" w:hAnsi="宋体"/>
          <w:szCs w:val="21"/>
        </w:rPr>
        <w:t>。</w:t>
      </w:r>
    </w:p>
    <w:p w14:paraId="7533FEC8">
      <w:pPr>
        <w:topLinePunct/>
        <w:adjustRightInd w:val="0"/>
        <w:snapToGrid w:val="0"/>
        <w:spacing w:line="300" w:lineRule="auto"/>
        <w:ind w:firstLine="420" w:firstLineChars="200"/>
        <w:rPr>
          <w:rFonts w:hint="eastAsia" w:hAnsi="宋体"/>
          <w:szCs w:val="21"/>
        </w:rPr>
      </w:pPr>
      <w:r>
        <w:rPr>
          <w:rFonts w:hAnsi="宋体"/>
          <w:szCs w:val="21"/>
        </w:rPr>
        <w:t>本标准修订的主要技术内容：</w:t>
      </w:r>
      <w:r>
        <w:rPr>
          <w:rFonts w:hint="eastAsia" w:hAnsi="宋体"/>
          <w:szCs w:val="21"/>
        </w:rPr>
        <w:t>1修订了混凝土原材料质量控制指标；2增加了纤维等质量控制指标；3修订了混凝土拌合物水溶性氯离子最大含量要求；4增加了混凝土强度等级划分；5修订了混凝土配合比设计依据标准及开盘鉴定规定；6</w:t>
      </w:r>
      <w:r>
        <w:rPr>
          <w:rFonts w:hAnsi="宋体"/>
          <w:szCs w:val="21"/>
        </w:rPr>
        <w:t>修订了混凝土生产控制的强度标准差要求；</w:t>
      </w:r>
      <w:r>
        <w:rPr>
          <w:rFonts w:hint="eastAsia" w:hAnsi="宋体"/>
          <w:szCs w:val="21"/>
        </w:rPr>
        <w:t>7修订了原材料进场检验要求；8</w:t>
      </w:r>
      <w:r>
        <w:rPr>
          <w:rFonts w:hAnsi="宋体"/>
          <w:szCs w:val="21"/>
        </w:rPr>
        <w:t>修订了混凝土组成材料计量结果的允许偏差</w:t>
      </w:r>
      <w:r>
        <w:rPr>
          <w:rFonts w:hint="eastAsia" w:hAnsi="宋体"/>
          <w:szCs w:val="21"/>
        </w:rPr>
        <w:t>；9增加了混凝土浇筑要求；10增加了混凝土养护要求；11修订了混凝土原材料质量检验的规定；12删除了坍落度经时损失试验方法等内容。</w:t>
      </w:r>
    </w:p>
    <w:p w14:paraId="7533FEC9">
      <w:pPr>
        <w:topLinePunct/>
        <w:adjustRightInd w:val="0"/>
        <w:snapToGrid w:val="0"/>
        <w:spacing w:line="300" w:lineRule="auto"/>
        <w:ind w:firstLine="420" w:firstLineChars="200"/>
        <w:rPr>
          <w:rFonts w:hint="eastAsia" w:hAnsi="宋体"/>
          <w:szCs w:val="21"/>
        </w:rPr>
      </w:pPr>
      <w:r>
        <w:rPr>
          <w:rFonts w:hAnsi="宋体"/>
          <w:szCs w:val="21"/>
        </w:rPr>
        <w:t>本标准由住房和城乡建设部负责管理</w:t>
      </w:r>
      <w:r>
        <w:rPr>
          <w:rFonts w:hint="eastAsia" w:hAnsi="宋体"/>
          <w:szCs w:val="21"/>
        </w:rPr>
        <w:t>。</w:t>
      </w:r>
    </w:p>
    <w:p w14:paraId="7533FECA">
      <w:pPr>
        <w:topLinePunct/>
        <w:adjustRightInd w:val="0"/>
        <w:snapToGrid w:val="0"/>
        <w:spacing w:line="300" w:lineRule="auto"/>
        <w:ind w:firstLine="420" w:firstLineChars="200"/>
        <w:rPr>
          <w:szCs w:val="21"/>
        </w:rPr>
      </w:pPr>
      <w:r>
        <w:rPr>
          <w:rFonts w:hint="eastAsia" w:hAnsi="宋体"/>
          <w:szCs w:val="21"/>
        </w:rPr>
        <w:t>本标准起草单位：</w:t>
      </w:r>
      <w:r>
        <w:rPr>
          <w:rFonts w:hAnsi="宋体"/>
          <w:szCs w:val="21"/>
        </w:rPr>
        <w:t>中国建筑科学研究院</w:t>
      </w:r>
      <w:r>
        <w:rPr>
          <w:rFonts w:hint="eastAsia" w:hAnsi="宋体"/>
          <w:szCs w:val="21"/>
        </w:rPr>
        <w:t>有限公司</w:t>
      </w:r>
      <w:r>
        <w:rPr>
          <w:rFonts w:hAnsi="宋体"/>
          <w:szCs w:val="21"/>
        </w:rPr>
        <w:t>（地址：北京市北三环东路</w:t>
      </w:r>
      <w:r>
        <w:rPr>
          <w:szCs w:val="21"/>
        </w:rPr>
        <w:t>30</w:t>
      </w:r>
      <w:r>
        <w:rPr>
          <w:rFonts w:hAnsi="宋体"/>
          <w:szCs w:val="21"/>
        </w:rPr>
        <w:t>号，邮政编码：</w:t>
      </w:r>
      <w:r>
        <w:rPr>
          <w:szCs w:val="21"/>
        </w:rPr>
        <w:t>100013</w:t>
      </w:r>
      <w:r>
        <w:rPr>
          <w:rFonts w:hAnsi="宋体"/>
          <w:szCs w:val="21"/>
        </w:rPr>
        <w:t>）。</w:t>
      </w:r>
    </w:p>
    <w:p w14:paraId="7533FECB">
      <w:pPr>
        <w:topLinePunct/>
        <w:adjustRightInd w:val="0"/>
        <w:snapToGrid w:val="0"/>
        <w:spacing w:line="300" w:lineRule="auto"/>
        <w:ind w:firstLine="2100" w:firstLineChars="1000"/>
        <w:rPr>
          <w:rFonts w:hint="eastAsia" w:hAnsi="宋体"/>
          <w:szCs w:val="21"/>
        </w:rPr>
      </w:pPr>
      <w:r>
        <w:rPr>
          <w:rFonts w:hint="eastAsia" w:hAnsi="宋体"/>
          <w:szCs w:val="21"/>
        </w:rPr>
        <w:t>XXXX</w:t>
      </w:r>
    </w:p>
    <w:p w14:paraId="7533FECC">
      <w:pPr>
        <w:topLinePunct/>
        <w:adjustRightInd w:val="0"/>
        <w:snapToGrid w:val="0"/>
        <w:spacing w:line="300" w:lineRule="auto"/>
        <w:ind w:firstLine="2100" w:firstLineChars="1000"/>
        <w:rPr>
          <w:rFonts w:hint="eastAsia" w:hAnsi="宋体"/>
          <w:szCs w:val="21"/>
        </w:rPr>
      </w:pPr>
      <w:r>
        <w:rPr>
          <w:rFonts w:hint="eastAsia" w:hAnsi="宋体"/>
          <w:szCs w:val="21"/>
        </w:rPr>
        <w:t>XXXX</w:t>
      </w:r>
    </w:p>
    <w:p w14:paraId="7533FECD">
      <w:pPr>
        <w:topLinePunct/>
        <w:adjustRightInd w:val="0"/>
        <w:snapToGrid w:val="0"/>
        <w:spacing w:line="300" w:lineRule="auto"/>
        <w:ind w:firstLine="2100" w:firstLineChars="1000"/>
        <w:rPr>
          <w:rFonts w:hint="eastAsia" w:hAnsi="宋体"/>
          <w:szCs w:val="21"/>
        </w:rPr>
      </w:pPr>
    </w:p>
    <w:p w14:paraId="7533FECE">
      <w:pPr>
        <w:topLinePunct/>
        <w:adjustRightInd w:val="0"/>
        <w:snapToGrid w:val="0"/>
        <w:spacing w:line="380" w:lineRule="exact"/>
        <w:ind w:firstLine="2100" w:firstLineChars="1000"/>
        <w:rPr>
          <w:rFonts w:hint="eastAsia" w:hAnsi="宋体"/>
          <w:szCs w:val="21"/>
        </w:rPr>
      </w:pPr>
    </w:p>
    <w:p w14:paraId="7533FECF">
      <w:pPr>
        <w:sectPr>
          <w:footerReference r:id="rId6" w:type="default"/>
          <w:pgSz w:w="11906" w:h="16838"/>
          <w:pgMar w:top="1440" w:right="1800" w:bottom="1440" w:left="1800" w:header="851" w:footer="992" w:gutter="0"/>
          <w:pgNumType w:fmt="upperRoman" w:start="1"/>
          <w:cols w:space="425" w:num="1"/>
          <w:docGrid w:type="lines" w:linePitch="312" w:charSpace="0"/>
        </w:sectPr>
      </w:pPr>
    </w:p>
    <w:p w14:paraId="7533FED0"/>
    <w:p w14:paraId="7533FED1">
      <w:pPr>
        <w:topLinePunct/>
        <w:adjustRightInd w:val="0"/>
        <w:snapToGrid w:val="0"/>
        <w:spacing w:line="360" w:lineRule="auto"/>
        <w:jc w:val="center"/>
        <w:rPr>
          <w:rFonts w:ascii="黑体" w:eastAsia="黑体"/>
          <w:sz w:val="32"/>
          <w:szCs w:val="32"/>
        </w:rPr>
      </w:pPr>
      <w:r>
        <w:rPr>
          <w:rFonts w:hint="eastAsia" w:ascii="黑体" w:hAnsi="宋体" w:eastAsia="黑体"/>
          <w:sz w:val="32"/>
          <w:szCs w:val="32"/>
        </w:rPr>
        <w:t>目</w:t>
      </w:r>
      <w:r>
        <w:rPr>
          <w:rFonts w:hint="eastAsia" w:ascii="黑体" w:eastAsia="黑体"/>
          <w:sz w:val="32"/>
          <w:szCs w:val="32"/>
        </w:rPr>
        <w:t xml:space="preserve">  </w:t>
      </w:r>
      <w:r>
        <w:rPr>
          <w:rFonts w:hint="eastAsia" w:ascii="黑体" w:hAnsi="宋体" w:eastAsia="黑体"/>
          <w:sz w:val="32"/>
          <w:szCs w:val="32"/>
        </w:rPr>
        <w:t>次</w:t>
      </w:r>
    </w:p>
    <w:p w14:paraId="7533FED2">
      <w:pPr>
        <w:pStyle w:val="12"/>
        <w:tabs>
          <w:tab w:val="right" w:leader="dot" w:pos="8296"/>
        </w:tabs>
      </w:pPr>
      <w:r>
        <w:rPr>
          <w:b/>
          <w:szCs w:val="21"/>
        </w:rPr>
        <w:fldChar w:fldCharType="begin"/>
      </w:r>
      <w:r>
        <w:rPr>
          <w:szCs w:val="21"/>
        </w:rPr>
        <w:instrText xml:space="preserve"> TOC \o "1-2" \h \z \u </w:instrText>
      </w:r>
      <w:r>
        <w:rPr>
          <w:b/>
          <w:szCs w:val="21"/>
        </w:rPr>
        <w:fldChar w:fldCharType="separate"/>
      </w:r>
      <w:r>
        <w:fldChar w:fldCharType="begin"/>
      </w:r>
      <w:r>
        <w:instrText xml:space="preserve"> HYPERLINK \l "_Toc201943547" </w:instrText>
      </w:r>
      <w:r>
        <w:fldChar w:fldCharType="separate"/>
      </w:r>
      <w:r>
        <w:rPr>
          <w:rStyle w:val="21"/>
          <w:u w:val="none"/>
        </w:rPr>
        <w:t xml:space="preserve">1  </w:t>
      </w:r>
      <w:r>
        <w:rPr>
          <w:rStyle w:val="21"/>
          <w:rFonts w:hAnsi="宋体"/>
          <w:u w:val="none"/>
        </w:rPr>
        <w:t>总则</w:t>
      </w:r>
      <w:r>
        <w:tab/>
      </w:r>
      <w:r>
        <w:fldChar w:fldCharType="begin"/>
      </w:r>
      <w:r>
        <w:instrText xml:space="preserve"> PAGEREF _Toc201943547 \h </w:instrText>
      </w:r>
      <w:r>
        <w:fldChar w:fldCharType="separate"/>
      </w:r>
      <w:r>
        <w:t>1</w:t>
      </w:r>
      <w:r>
        <w:fldChar w:fldCharType="end"/>
      </w:r>
      <w:r>
        <w:fldChar w:fldCharType="end"/>
      </w:r>
    </w:p>
    <w:p w14:paraId="7533FED3">
      <w:pPr>
        <w:pStyle w:val="12"/>
        <w:tabs>
          <w:tab w:val="right" w:leader="dot" w:pos="8296"/>
        </w:tabs>
      </w:pPr>
      <w:r>
        <w:fldChar w:fldCharType="begin"/>
      </w:r>
      <w:r>
        <w:instrText xml:space="preserve"> HYPERLINK \l "_Toc201943548" </w:instrText>
      </w:r>
      <w:r>
        <w:fldChar w:fldCharType="separate"/>
      </w:r>
      <w:r>
        <w:rPr>
          <w:rStyle w:val="21"/>
          <w:u w:val="none"/>
        </w:rPr>
        <w:t xml:space="preserve">2  </w:t>
      </w:r>
      <w:r>
        <w:rPr>
          <w:rStyle w:val="21"/>
          <w:rFonts w:hAnsi="宋体"/>
          <w:u w:val="none"/>
        </w:rPr>
        <w:t>原材料质量控制</w:t>
      </w:r>
      <w:r>
        <w:tab/>
      </w:r>
      <w:r>
        <w:fldChar w:fldCharType="begin"/>
      </w:r>
      <w:r>
        <w:instrText xml:space="preserve"> PAGEREF _Toc201943548 \h </w:instrText>
      </w:r>
      <w:r>
        <w:fldChar w:fldCharType="separate"/>
      </w:r>
      <w:r>
        <w:t>2</w:t>
      </w:r>
      <w:r>
        <w:fldChar w:fldCharType="end"/>
      </w:r>
      <w:r>
        <w:fldChar w:fldCharType="end"/>
      </w:r>
    </w:p>
    <w:p w14:paraId="7533FED4">
      <w:pPr>
        <w:pStyle w:val="13"/>
        <w:tabs>
          <w:tab w:val="right" w:leader="dot" w:pos="8296"/>
        </w:tabs>
        <w:ind w:left="193" w:leftChars="0"/>
      </w:pPr>
      <w:r>
        <w:fldChar w:fldCharType="begin"/>
      </w:r>
      <w:r>
        <w:instrText xml:space="preserve"> HYPERLINK \l "_Toc201943549" </w:instrText>
      </w:r>
      <w:r>
        <w:fldChar w:fldCharType="separate"/>
      </w:r>
      <w:r>
        <w:rPr>
          <w:rStyle w:val="21"/>
          <w:bCs/>
          <w:u w:val="none"/>
        </w:rPr>
        <w:t xml:space="preserve">2.1  </w:t>
      </w:r>
      <w:r>
        <w:rPr>
          <w:rStyle w:val="21"/>
          <w:rFonts w:hAnsi="宋体"/>
          <w:bCs/>
          <w:u w:val="none"/>
        </w:rPr>
        <w:t>水泥</w:t>
      </w:r>
      <w:r>
        <w:tab/>
      </w:r>
      <w:r>
        <w:fldChar w:fldCharType="begin"/>
      </w:r>
      <w:r>
        <w:instrText xml:space="preserve"> PAGEREF _Toc201943549 \h </w:instrText>
      </w:r>
      <w:r>
        <w:fldChar w:fldCharType="separate"/>
      </w:r>
      <w:r>
        <w:t>2</w:t>
      </w:r>
      <w:r>
        <w:fldChar w:fldCharType="end"/>
      </w:r>
      <w:r>
        <w:fldChar w:fldCharType="end"/>
      </w:r>
    </w:p>
    <w:p w14:paraId="7533FED5">
      <w:pPr>
        <w:pStyle w:val="13"/>
        <w:tabs>
          <w:tab w:val="right" w:leader="dot" w:pos="8296"/>
        </w:tabs>
        <w:ind w:left="193" w:leftChars="0"/>
      </w:pPr>
      <w:r>
        <w:fldChar w:fldCharType="begin"/>
      </w:r>
      <w:r>
        <w:instrText xml:space="preserve"> HYPERLINK \l "_Toc201943550" </w:instrText>
      </w:r>
      <w:r>
        <w:fldChar w:fldCharType="separate"/>
      </w:r>
      <w:r>
        <w:rPr>
          <w:rStyle w:val="21"/>
          <w:bCs/>
          <w:u w:val="none"/>
        </w:rPr>
        <w:t xml:space="preserve">2.2  </w:t>
      </w:r>
      <w:r>
        <w:rPr>
          <w:rStyle w:val="21"/>
          <w:rFonts w:hAnsi="宋体"/>
          <w:bCs/>
          <w:u w:val="none"/>
        </w:rPr>
        <w:t>粗骨料</w:t>
      </w:r>
      <w:r>
        <w:tab/>
      </w:r>
      <w:r>
        <w:fldChar w:fldCharType="begin"/>
      </w:r>
      <w:r>
        <w:instrText xml:space="preserve"> PAGEREF _Toc201943550 \h </w:instrText>
      </w:r>
      <w:r>
        <w:fldChar w:fldCharType="separate"/>
      </w:r>
      <w:r>
        <w:t>2</w:t>
      </w:r>
      <w:r>
        <w:fldChar w:fldCharType="end"/>
      </w:r>
      <w:r>
        <w:fldChar w:fldCharType="end"/>
      </w:r>
    </w:p>
    <w:p w14:paraId="7533FED6">
      <w:pPr>
        <w:pStyle w:val="13"/>
        <w:tabs>
          <w:tab w:val="right" w:leader="dot" w:pos="8296"/>
        </w:tabs>
        <w:ind w:left="193" w:leftChars="0"/>
      </w:pPr>
      <w:r>
        <w:fldChar w:fldCharType="begin"/>
      </w:r>
      <w:r>
        <w:instrText xml:space="preserve"> HYPERLINK \l "_Toc201943551" </w:instrText>
      </w:r>
      <w:r>
        <w:fldChar w:fldCharType="separate"/>
      </w:r>
      <w:r>
        <w:rPr>
          <w:rStyle w:val="21"/>
          <w:rFonts w:hAnsi="宋体"/>
          <w:bCs/>
          <w:u w:val="none"/>
        </w:rPr>
        <w:t>2.3  细骨料</w:t>
      </w:r>
      <w:r>
        <w:tab/>
      </w:r>
      <w:r>
        <w:fldChar w:fldCharType="begin"/>
      </w:r>
      <w:r>
        <w:instrText xml:space="preserve"> PAGEREF _Toc201943551 \h </w:instrText>
      </w:r>
      <w:r>
        <w:fldChar w:fldCharType="separate"/>
      </w:r>
      <w:r>
        <w:t>3</w:t>
      </w:r>
      <w:r>
        <w:fldChar w:fldCharType="end"/>
      </w:r>
      <w:r>
        <w:fldChar w:fldCharType="end"/>
      </w:r>
    </w:p>
    <w:p w14:paraId="7533FED7">
      <w:pPr>
        <w:pStyle w:val="13"/>
        <w:tabs>
          <w:tab w:val="right" w:leader="dot" w:pos="8296"/>
        </w:tabs>
        <w:ind w:left="193" w:leftChars="0"/>
      </w:pPr>
      <w:r>
        <w:fldChar w:fldCharType="begin"/>
      </w:r>
      <w:r>
        <w:instrText xml:space="preserve"> HYPERLINK \l "_Toc201943552" </w:instrText>
      </w:r>
      <w:r>
        <w:fldChar w:fldCharType="separate"/>
      </w:r>
      <w:r>
        <w:rPr>
          <w:rStyle w:val="21"/>
          <w:bCs/>
          <w:u w:val="none"/>
        </w:rPr>
        <w:t xml:space="preserve">2.4  </w:t>
      </w:r>
      <w:r>
        <w:rPr>
          <w:rStyle w:val="21"/>
          <w:rFonts w:hAnsi="宋体"/>
          <w:bCs/>
          <w:u w:val="none"/>
        </w:rPr>
        <w:t>矿物掺合料</w:t>
      </w:r>
      <w:r>
        <w:tab/>
      </w:r>
      <w:r>
        <w:fldChar w:fldCharType="begin"/>
      </w:r>
      <w:r>
        <w:instrText xml:space="preserve"> PAGEREF _Toc201943552 \h </w:instrText>
      </w:r>
      <w:r>
        <w:fldChar w:fldCharType="separate"/>
      </w:r>
      <w:r>
        <w:t>4</w:t>
      </w:r>
      <w:r>
        <w:fldChar w:fldCharType="end"/>
      </w:r>
      <w:r>
        <w:fldChar w:fldCharType="end"/>
      </w:r>
    </w:p>
    <w:p w14:paraId="7533FED8">
      <w:pPr>
        <w:pStyle w:val="13"/>
        <w:tabs>
          <w:tab w:val="right" w:leader="dot" w:pos="8296"/>
        </w:tabs>
        <w:ind w:left="193" w:leftChars="0"/>
      </w:pPr>
      <w:r>
        <w:fldChar w:fldCharType="begin"/>
      </w:r>
      <w:r>
        <w:instrText xml:space="preserve"> HYPERLINK \l "_Toc201943553" </w:instrText>
      </w:r>
      <w:r>
        <w:fldChar w:fldCharType="separate"/>
      </w:r>
      <w:r>
        <w:rPr>
          <w:rStyle w:val="21"/>
          <w:bCs/>
          <w:u w:val="none"/>
        </w:rPr>
        <w:t xml:space="preserve">2.5  </w:t>
      </w:r>
      <w:r>
        <w:rPr>
          <w:rStyle w:val="21"/>
          <w:rFonts w:hAnsi="宋体"/>
          <w:bCs/>
          <w:u w:val="none"/>
        </w:rPr>
        <w:t>外加剂</w:t>
      </w:r>
      <w:r>
        <w:tab/>
      </w:r>
      <w:r>
        <w:fldChar w:fldCharType="begin"/>
      </w:r>
      <w:r>
        <w:instrText xml:space="preserve"> PAGEREF _Toc201943553 \h </w:instrText>
      </w:r>
      <w:r>
        <w:fldChar w:fldCharType="separate"/>
      </w:r>
      <w:r>
        <w:t>5</w:t>
      </w:r>
      <w:r>
        <w:fldChar w:fldCharType="end"/>
      </w:r>
      <w:r>
        <w:fldChar w:fldCharType="end"/>
      </w:r>
    </w:p>
    <w:p w14:paraId="7533FED9">
      <w:pPr>
        <w:pStyle w:val="13"/>
        <w:tabs>
          <w:tab w:val="right" w:leader="dot" w:pos="8296"/>
        </w:tabs>
        <w:ind w:left="193" w:leftChars="0"/>
      </w:pPr>
      <w:r>
        <w:fldChar w:fldCharType="begin"/>
      </w:r>
      <w:r>
        <w:instrText xml:space="preserve"> HYPERLINK \l "_Toc201943554" </w:instrText>
      </w:r>
      <w:r>
        <w:fldChar w:fldCharType="separate"/>
      </w:r>
      <w:r>
        <w:rPr>
          <w:rStyle w:val="21"/>
          <w:bCs/>
          <w:u w:val="none"/>
        </w:rPr>
        <w:t xml:space="preserve">2.6  </w:t>
      </w:r>
      <w:r>
        <w:rPr>
          <w:rStyle w:val="21"/>
          <w:rFonts w:hAnsi="宋体"/>
          <w:bCs/>
          <w:u w:val="none"/>
        </w:rPr>
        <w:t>水</w:t>
      </w:r>
      <w:r>
        <w:tab/>
      </w:r>
      <w:r>
        <w:fldChar w:fldCharType="begin"/>
      </w:r>
      <w:r>
        <w:instrText xml:space="preserve"> PAGEREF _Toc201943554 \h </w:instrText>
      </w:r>
      <w:r>
        <w:fldChar w:fldCharType="separate"/>
      </w:r>
      <w:r>
        <w:t>6</w:t>
      </w:r>
      <w:r>
        <w:fldChar w:fldCharType="end"/>
      </w:r>
      <w:r>
        <w:fldChar w:fldCharType="end"/>
      </w:r>
    </w:p>
    <w:p w14:paraId="7533FEDA">
      <w:pPr>
        <w:pStyle w:val="13"/>
        <w:tabs>
          <w:tab w:val="right" w:leader="dot" w:pos="8296"/>
        </w:tabs>
        <w:ind w:left="193" w:leftChars="0"/>
      </w:pPr>
      <w:r>
        <w:fldChar w:fldCharType="begin"/>
      </w:r>
      <w:r>
        <w:instrText xml:space="preserve"> HYPERLINK \l "_Toc201943555" </w:instrText>
      </w:r>
      <w:r>
        <w:fldChar w:fldCharType="separate"/>
      </w:r>
      <w:r>
        <w:rPr>
          <w:rStyle w:val="21"/>
          <w:bCs/>
          <w:u w:val="none"/>
        </w:rPr>
        <w:t xml:space="preserve">2.7  </w:t>
      </w:r>
      <w:r>
        <w:rPr>
          <w:rStyle w:val="21"/>
          <w:rFonts w:hAnsi="宋体"/>
          <w:bCs/>
          <w:u w:val="none"/>
        </w:rPr>
        <w:t>纤维</w:t>
      </w:r>
      <w:r>
        <w:tab/>
      </w:r>
      <w:r>
        <w:fldChar w:fldCharType="begin"/>
      </w:r>
      <w:r>
        <w:instrText xml:space="preserve"> PAGEREF _Toc201943555 \h </w:instrText>
      </w:r>
      <w:r>
        <w:fldChar w:fldCharType="separate"/>
      </w:r>
      <w:r>
        <w:t>6</w:t>
      </w:r>
      <w:r>
        <w:fldChar w:fldCharType="end"/>
      </w:r>
      <w:r>
        <w:fldChar w:fldCharType="end"/>
      </w:r>
    </w:p>
    <w:p w14:paraId="7533FEDB">
      <w:pPr>
        <w:pStyle w:val="12"/>
        <w:tabs>
          <w:tab w:val="right" w:leader="dot" w:pos="8296"/>
        </w:tabs>
      </w:pPr>
      <w:r>
        <w:fldChar w:fldCharType="begin"/>
      </w:r>
      <w:r>
        <w:instrText xml:space="preserve"> HYPERLINK \l "_Toc201943556" </w:instrText>
      </w:r>
      <w:r>
        <w:fldChar w:fldCharType="separate"/>
      </w:r>
      <w:r>
        <w:rPr>
          <w:rStyle w:val="21"/>
          <w:u w:val="none"/>
        </w:rPr>
        <w:t xml:space="preserve">3  </w:t>
      </w:r>
      <w:r>
        <w:rPr>
          <w:rStyle w:val="21"/>
          <w:rFonts w:hAnsi="宋体"/>
          <w:u w:val="none"/>
        </w:rPr>
        <w:t>混凝土性能要求</w:t>
      </w:r>
      <w:r>
        <w:tab/>
      </w:r>
      <w:r>
        <w:fldChar w:fldCharType="begin"/>
      </w:r>
      <w:r>
        <w:instrText xml:space="preserve"> PAGEREF _Toc201943556 \h </w:instrText>
      </w:r>
      <w:r>
        <w:fldChar w:fldCharType="separate"/>
      </w:r>
      <w:r>
        <w:t>7</w:t>
      </w:r>
      <w:r>
        <w:fldChar w:fldCharType="end"/>
      </w:r>
      <w:r>
        <w:fldChar w:fldCharType="end"/>
      </w:r>
    </w:p>
    <w:p w14:paraId="7533FEDC">
      <w:pPr>
        <w:pStyle w:val="13"/>
        <w:tabs>
          <w:tab w:val="right" w:leader="dot" w:pos="8296"/>
        </w:tabs>
        <w:ind w:left="193" w:leftChars="0"/>
      </w:pPr>
      <w:r>
        <w:fldChar w:fldCharType="begin"/>
      </w:r>
      <w:r>
        <w:instrText xml:space="preserve"> HYPERLINK \l "_Toc201943557" </w:instrText>
      </w:r>
      <w:r>
        <w:fldChar w:fldCharType="separate"/>
      </w:r>
      <w:r>
        <w:rPr>
          <w:rStyle w:val="21"/>
          <w:bCs/>
          <w:u w:val="none"/>
        </w:rPr>
        <w:t xml:space="preserve">3.1  </w:t>
      </w:r>
      <w:r>
        <w:rPr>
          <w:rStyle w:val="21"/>
          <w:rFonts w:hAnsi="宋体"/>
          <w:bCs/>
          <w:u w:val="none"/>
        </w:rPr>
        <w:t>拌合物性能</w:t>
      </w:r>
      <w:r>
        <w:tab/>
      </w:r>
      <w:r>
        <w:fldChar w:fldCharType="begin"/>
      </w:r>
      <w:r>
        <w:instrText xml:space="preserve"> PAGEREF _Toc201943557 \h </w:instrText>
      </w:r>
      <w:r>
        <w:fldChar w:fldCharType="separate"/>
      </w:r>
      <w:r>
        <w:t>7</w:t>
      </w:r>
      <w:r>
        <w:fldChar w:fldCharType="end"/>
      </w:r>
      <w:r>
        <w:fldChar w:fldCharType="end"/>
      </w:r>
    </w:p>
    <w:p w14:paraId="7533FEDD">
      <w:pPr>
        <w:pStyle w:val="13"/>
        <w:tabs>
          <w:tab w:val="right" w:leader="dot" w:pos="8296"/>
        </w:tabs>
        <w:ind w:left="193" w:leftChars="0"/>
      </w:pPr>
      <w:r>
        <w:fldChar w:fldCharType="begin"/>
      </w:r>
      <w:r>
        <w:instrText xml:space="preserve"> HYPERLINK \l "_Toc201943558" </w:instrText>
      </w:r>
      <w:r>
        <w:fldChar w:fldCharType="separate"/>
      </w:r>
      <w:r>
        <w:rPr>
          <w:rStyle w:val="21"/>
          <w:bCs/>
          <w:u w:val="none"/>
        </w:rPr>
        <w:t xml:space="preserve">3.2  </w:t>
      </w:r>
      <w:r>
        <w:rPr>
          <w:rStyle w:val="21"/>
          <w:rFonts w:hAnsi="宋体"/>
          <w:bCs/>
          <w:u w:val="none"/>
        </w:rPr>
        <w:t>力学性能</w:t>
      </w:r>
      <w:r>
        <w:tab/>
      </w:r>
      <w:r>
        <w:fldChar w:fldCharType="begin"/>
      </w:r>
      <w:r>
        <w:instrText xml:space="preserve"> PAGEREF _Toc201943558 \h </w:instrText>
      </w:r>
      <w:r>
        <w:fldChar w:fldCharType="separate"/>
      </w:r>
      <w:r>
        <w:t>8</w:t>
      </w:r>
      <w:r>
        <w:fldChar w:fldCharType="end"/>
      </w:r>
      <w:r>
        <w:fldChar w:fldCharType="end"/>
      </w:r>
    </w:p>
    <w:p w14:paraId="7533FEDE">
      <w:pPr>
        <w:pStyle w:val="13"/>
        <w:tabs>
          <w:tab w:val="right" w:leader="dot" w:pos="8296"/>
        </w:tabs>
        <w:ind w:left="193" w:leftChars="0"/>
      </w:pPr>
      <w:r>
        <w:fldChar w:fldCharType="begin"/>
      </w:r>
      <w:r>
        <w:instrText xml:space="preserve"> HYPERLINK \l "_Toc201943559" </w:instrText>
      </w:r>
      <w:r>
        <w:fldChar w:fldCharType="separate"/>
      </w:r>
      <w:r>
        <w:rPr>
          <w:rStyle w:val="21"/>
          <w:bCs/>
          <w:u w:val="none"/>
        </w:rPr>
        <w:t xml:space="preserve">3.3  </w:t>
      </w:r>
      <w:r>
        <w:rPr>
          <w:rStyle w:val="21"/>
          <w:rFonts w:hAnsi="宋体"/>
          <w:bCs/>
          <w:u w:val="none"/>
        </w:rPr>
        <w:t>长期性能和耐久性能</w:t>
      </w:r>
      <w:r>
        <w:tab/>
      </w:r>
      <w:r>
        <w:fldChar w:fldCharType="begin"/>
      </w:r>
      <w:r>
        <w:instrText xml:space="preserve"> PAGEREF _Toc201943559 \h </w:instrText>
      </w:r>
      <w:r>
        <w:fldChar w:fldCharType="separate"/>
      </w:r>
      <w:r>
        <w:t>9</w:t>
      </w:r>
      <w:r>
        <w:fldChar w:fldCharType="end"/>
      </w:r>
      <w:r>
        <w:fldChar w:fldCharType="end"/>
      </w:r>
    </w:p>
    <w:p w14:paraId="7533FEDF">
      <w:pPr>
        <w:pStyle w:val="12"/>
        <w:tabs>
          <w:tab w:val="right" w:leader="dot" w:pos="8296"/>
        </w:tabs>
      </w:pPr>
      <w:r>
        <w:fldChar w:fldCharType="begin"/>
      </w:r>
      <w:r>
        <w:instrText xml:space="preserve"> HYPERLINK \l "_Toc201943560" </w:instrText>
      </w:r>
      <w:r>
        <w:fldChar w:fldCharType="separate"/>
      </w:r>
      <w:r>
        <w:rPr>
          <w:rStyle w:val="21"/>
          <w:u w:val="none"/>
        </w:rPr>
        <w:t xml:space="preserve">4  </w:t>
      </w:r>
      <w:r>
        <w:rPr>
          <w:rStyle w:val="21"/>
          <w:rFonts w:hAnsi="宋体"/>
          <w:u w:val="none"/>
        </w:rPr>
        <w:t>配合比控制</w:t>
      </w:r>
      <w:r>
        <w:tab/>
      </w:r>
      <w:r>
        <w:fldChar w:fldCharType="begin"/>
      </w:r>
      <w:r>
        <w:instrText xml:space="preserve"> PAGEREF _Toc201943560 \h </w:instrText>
      </w:r>
      <w:r>
        <w:fldChar w:fldCharType="separate"/>
      </w:r>
      <w:r>
        <w:t>11</w:t>
      </w:r>
      <w:r>
        <w:fldChar w:fldCharType="end"/>
      </w:r>
      <w:r>
        <w:fldChar w:fldCharType="end"/>
      </w:r>
    </w:p>
    <w:p w14:paraId="7533FEE0">
      <w:pPr>
        <w:pStyle w:val="12"/>
        <w:tabs>
          <w:tab w:val="right" w:leader="dot" w:pos="8296"/>
        </w:tabs>
      </w:pPr>
      <w:r>
        <w:fldChar w:fldCharType="begin"/>
      </w:r>
      <w:r>
        <w:instrText xml:space="preserve"> HYPERLINK \l "_Toc201943561" </w:instrText>
      </w:r>
      <w:r>
        <w:fldChar w:fldCharType="separate"/>
      </w:r>
      <w:r>
        <w:rPr>
          <w:rStyle w:val="21"/>
          <w:u w:val="none"/>
        </w:rPr>
        <w:t xml:space="preserve">5  </w:t>
      </w:r>
      <w:r>
        <w:rPr>
          <w:rStyle w:val="21"/>
          <w:rFonts w:hAnsi="宋体"/>
          <w:u w:val="none"/>
        </w:rPr>
        <w:t>生产控制水平</w:t>
      </w:r>
      <w:r>
        <w:tab/>
      </w:r>
      <w:r>
        <w:fldChar w:fldCharType="begin"/>
      </w:r>
      <w:r>
        <w:instrText xml:space="preserve"> PAGEREF _Toc201943561 \h </w:instrText>
      </w:r>
      <w:r>
        <w:fldChar w:fldCharType="separate"/>
      </w:r>
      <w:r>
        <w:t>12</w:t>
      </w:r>
      <w:r>
        <w:fldChar w:fldCharType="end"/>
      </w:r>
      <w:r>
        <w:fldChar w:fldCharType="end"/>
      </w:r>
    </w:p>
    <w:p w14:paraId="7533FEE1">
      <w:pPr>
        <w:pStyle w:val="12"/>
        <w:tabs>
          <w:tab w:val="right" w:leader="dot" w:pos="8296"/>
        </w:tabs>
      </w:pPr>
      <w:r>
        <w:fldChar w:fldCharType="begin"/>
      </w:r>
      <w:r>
        <w:instrText xml:space="preserve"> HYPERLINK \l "_Toc201943562" </w:instrText>
      </w:r>
      <w:r>
        <w:fldChar w:fldCharType="separate"/>
      </w:r>
      <w:r>
        <w:rPr>
          <w:rStyle w:val="21"/>
          <w:u w:val="none"/>
        </w:rPr>
        <w:t xml:space="preserve">6  </w:t>
      </w:r>
      <w:r>
        <w:rPr>
          <w:rStyle w:val="21"/>
          <w:rFonts w:hAnsi="宋体"/>
          <w:u w:val="none"/>
        </w:rPr>
        <w:t>生产与施工质量控制</w:t>
      </w:r>
      <w:r>
        <w:tab/>
      </w:r>
      <w:r>
        <w:fldChar w:fldCharType="begin"/>
      </w:r>
      <w:r>
        <w:instrText xml:space="preserve"> PAGEREF _Toc201943562 \h </w:instrText>
      </w:r>
      <w:r>
        <w:fldChar w:fldCharType="separate"/>
      </w:r>
      <w:r>
        <w:t>13</w:t>
      </w:r>
      <w:r>
        <w:fldChar w:fldCharType="end"/>
      </w:r>
      <w:r>
        <w:fldChar w:fldCharType="end"/>
      </w:r>
    </w:p>
    <w:p w14:paraId="7533FEE2">
      <w:pPr>
        <w:pStyle w:val="13"/>
        <w:tabs>
          <w:tab w:val="right" w:leader="dot" w:pos="8296"/>
        </w:tabs>
        <w:ind w:left="193" w:leftChars="0"/>
      </w:pPr>
      <w:r>
        <w:fldChar w:fldCharType="begin"/>
      </w:r>
      <w:r>
        <w:instrText xml:space="preserve"> HYPERLINK \l "_Toc201943563" </w:instrText>
      </w:r>
      <w:r>
        <w:fldChar w:fldCharType="separate"/>
      </w:r>
      <w:r>
        <w:rPr>
          <w:rStyle w:val="21"/>
          <w:rFonts w:hAnsi="宋体"/>
          <w:bCs/>
          <w:u w:val="none"/>
        </w:rPr>
        <w:t>6.1  一般规定</w:t>
      </w:r>
      <w:r>
        <w:tab/>
      </w:r>
      <w:r>
        <w:fldChar w:fldCharType="begin"/>
      </w:r>
      <w:r>
        <w:instrText xml:space="preserve"> PAGEREF _Toc201943563 \h </w:instrText>
      </w:r>
      <w:r>
        <w:fldChar w:fldCharType="separate"/>
      </w:r>
      <w:r>
        <w:t>13</w:t>
      </w:r>
      <w:r>
        <w:fldChar w:fldCharType="end"/>
      </w:r>
      <w:r>
        <w:fldChar w:fldCharType="end"/>
      </w:r>
    </w:p>
    <w:p w14:paraId="7533FEE3">
      <w:pPr>
        <w:pStyle w:val="13"/>
        <w:tabs>
          <w:tab w:val="right" w:leader="dot" w:pos="8296"/>
        </w:tabs>
        <w:ind w:left="193" w:leftChars="0"/>
      </w:pPr>
      <w:r>
        <w:fldChar w:fldCharType="begin"/>
      </w:r>
      <w:r>
        <w:instrText xml:space="preserve"> HYPERLINK \l "_Toc201943564" </w:instrText>
      </w:r>
      <w:r>
        <w:fldChar w:fldCharType="separate"/>
      </w:r>
      <w:r>
        <w:rPr>
          <w:rStyle w:val="21"/>
          <w:bCs/>
          <w:u w:val="none"/>
        </w:rPr>
        <w:t xml:space="preserve">6.2  </w:t>
      </w:r>
      <w:r>
        <w:rPr>
          <w:rStyle w:val="21"/>
          <w:rFonts w:hAnsi="宋体"/>
          <w:bCs/>
          <w:u w:val="none"/>
        </w:rPr>
        <w:t>原材料进场</w:t>
      </w:r>
      <w:r>
        <w:tab/>
      </w:r>
      <w:r>
        <w:fldChar w:fldCharType="begin"/>
      </w:r>
      <w:r>
        <w:instrText xml:space="preserve"> PAGEREF _Toc201943564 \h </w:instrText>
      </w:r>
      <w:r>
        <w:fldChar w:fldCharType="separate"/>
      </w:r>
      <w:r>
        <w:t>13</w:t>
      </w:r>
      <w:r>
        <w:fldChar w:fldCharType="end"/>
      </w:r>
      <w:r>
        <w:fldChar w:fldCharType="end"/>
      </w:r>
    </w:p>
    <w:p w14:paraId="7533FEE4">
      <w:pPr>
        <w:pStyle w:val="13"/>
        <w:tabs>
          <w:tab w:val="right" w:leader="dot" w:pos="8296"/>
        </w:tabs>
        <w:ind w:left="193" w:leftChars="0"/>
      </w:pPr>
      <w:r>
        <w:fldChar w:fldCharType="begin"/>
      </w:r>
      <w:r>
        <w:instrText xml:space="preserve"> HYPERLINK \l "_Toc201943565" </w:instrText>
      </w:r>
      <w:r>
        <w:fldChar w:fldCharType="separate"/>
      </w:r>
      <w:r>
        <w:rPr>
          <w:rStyle w:val="21"/>
          <w:rFonts w:hAnsi="宋体"/>
          <w:bCs/>
          <w:u w:val="none"/>
        </w:rPr>
        <w:t>6.3  计量</w:t>
      </w:r>
      <w:r>
        <w:tab/>
      </w:r>
      <w:r>
        <w:fldChar w:fldCharType="begin"/>
      </w:r>
      <w:r>
        <w:instrText xml:space="preserve"> PAGEREF _Toc201943565 \h </w:instrText>
      </w:r>
      <w:r>
        <w:fldChar w:fldCharType="separate"/>
      </w:r>
      <w:r>
        <w:t>13</w:t>
      </w:r>
      <w:r>
        <w:fldChar w:fldCharType="end"/>
      </w:r>
      <w:r>
        <w:fldChar w:fldCharType="end"/>
      </w:r>
    </w:p>
    <w:p w14:paraId="7533FEE5">
      <w:pPr>
        <w:pStyle w:val="13"/>
        <w:tabs>
          <w:tab w:val="right" w:leader="dot" w:pos="8296"/>
        </w:tabs>
        <w:ind w:left="193" w:leftChars="0"/>
      </w:pPr>
      <w:r>
        <w:fldChar w:fldCharType="begin"/>
      </w:r>
      <w:r>
        <w:instrText xml:space="preserve"> HYPERLINK \l "_Toc201943566" </w:instrText>
      </w:r>
      <w:r>
        <w:fldChar w:fldCharType="separate"/>
      </w:r>
      <w:r>
        <w:rPr>
          <w:rStyle w:val="21"/>
          <w:rFonts w:hAnsi="宋体"/>
          <w:bCs/>
          <w:u w:val="none"/>
        </w:rPr>
        <w:t>6.4  搅拌</w:t>
      </w:r>
      <w:r>
        <w:tab/>
      </w:r>
      <w:r>
        <w:fldChar w:fldCharType="begin"/>
      </w:r>
      <w:r>
        <w:instrText xml:space="preserve"> PAGEREF _Toc201943566 \h </w:instrText>
      </w:r>
      <w:r>
        <w:fldChar w:fldCharType="separate"/>
      </w:r>
      <w:r>
        <w:t>14</w:t>
      </w:r>
      <w:r>
        <w:fldChar w:fldCharType="end"/>
      </w:r>
      <w:r>
        <w:fldChar w:fldCharType="end"/>
      </w:r>
    </w:p>
    <w:p w14:paraId="7533FEE6">
      <w:pPr>
        <w:pStyle w:val="13"/>
        <w:tabs>
          <w:tab w:val="right" w:leader="dot" w:pos="8296"/>
        </w:tabs>
        <w:ind w:left="193" w:leftChars="0"/>
      </w:pPr>
      <w:r>
        <w:fldChar w:fldCharType="begin"/>
      </w:r>
      <w:r>
        <w:instrText xml:space="preserve"> HYPERLINK \l "_Toc201943567" </w:instrText>
      </w:r>
      <w:r>
        <w:fldChar w:fldCharType="separate"/>
      </w:r>
      <w:r>
        <w:rPr>
          <w:rStyle w:val="21"/>
          <w:rFonts w:hAnsi="宋体"/>
          <w:bCs/>
          <w:u w:val="none"/>
        </w:rPr>
        <w:t>6.5  运输</w:t>
      </w:r>
      <w:r>
        <w:tab/>
      </w:r>
      <w:r>
        <w:fldChar w:fldCharType="begin"/>
      </w:r>
      <w:r>
        <w:instrText xml:space="preserve"> PAGEREF _Toc201943567 \h </w:instrText>
      </w:r>
      <w:r>
        <w:fldChar w:fldCharType="separate"/>
      </w:r>
      <w:r>
        <w:t>14</w:t>
      </w:r>
      <w:r>
        <w:fldChar w:fldCharType="end"/>
      </w:r>
      <w:r>
        <w:fldChar w:fldCharType="end"/>
      </w:r>
    </w:p>
    <w:p w14:paraId="7533FEE7">
      <w:pPr>
        <w:pStyle w:val="13"/>
        <w:tabs>
          <w:tab w:val="right" w:leader="dot" w:pos="8296"/>
        </w:tabs>
        <w:ind w:left="193" w:leftChars="0"/>
      </w:pPr>
      <w:r>
        <w:fldChar w:fldCharType="begin"/>
      </w:r>
      <w:r>
        <w:instrText xml:space="preserve"> HYPERLINK \l "_Toc201943568" </w:instrText>
      </w:r>
      <w:r>
        <w:fldChar w:fldCharType="separate"/>
      </w:r>
      <w:r>
        <w:rPr>
          <w:rStyle w:val="21"/>
          <w:bCs/>
          <w:u w:val="none"/>
        </w:rPr>
        <w:t xml:space="preserve">6.6  </w:t>
      </w:r>
      <w:r>
        <w:rPr>
          <w:rStyle w:val="21"/>
          <w:rFonts w:hAnsi="宋体"/>
          <w:bCs/>
          <w:u w:val="none"/>
        </w:rPr>
        <w:t>浇筑成型</w:t>
      </w:r>
      <w:r>
        <w:tab/>
      </w:r>
      <w:r>
        <w:fldChar w:fldCharType="begin"/>
      </w:r>
      <w:r>
        <w:instrText xml:space="preserve"> PAGEREF _Toc201943568 \h </w:instrText>
      </w:r>
      <w:r>
        <w:fldChar w:fldCharType="separate"/>
      </w:r>
      <w:r>
        <w:t>15</w:t>
      </w:r>
      <w:r>
        <w:fldChar w:fldCharType="end"/>
      </w:r>
      <w:r>
        <w:fldChar w:fldCharType="end"/>
      </w:r>
    </w:p>
    <w:p w14:paraId="7533FEE8">
      <w:pPr>
        <w:pStyle w:val="13"/>
        <w:tabs>
          <w:tab w:val="right" w:leader="dot" w:pos="8296"/>
        </w:tabs>
        <w:ind w:left="193" w:leftChars="0"/>
      </w:pPr>
      <w:r>
        <w:fldChar w:fldCharType="begin"/>
      </w:r>
      <w:r>
        <w:instrText xml:space="preserve"> HYPERLINK \l "_Toc201943569" </w:instrText>
      </w:r>
      <w:r>
        <w:fldChar w:fldCharType="separate"/>
      </w:r>
      <w:r>
        <w:rPr>
          <w:rStyle w:val="21"/>
          <w:bCs/>
          <w:u w:val="none"/>
        </w:rPr>
        <w:t xml:space="preserve">6.7  </w:t>
      </w:r>
      <w:r>
        <w:rPr>
          <w:rStyle w:val="21"/>
          <w:rFonts w:hAnsi="宋体"/>
          <w:bCs/>
          <w:u w:val="none"/>
        </w:rPr>
        <w:t>养护</w:t>
      </w:r>
      <w:r>
        <w:tab/>
      </w:r>
      <w:r>
        <w:fldChar w:fldCharType="begin"/>
      </w:r>
      <w:r>
        <w:instrText xml:space="preserve"> PAGEREF _Toc201943569 \h </w:instrText>
      </w:r>
      <w:r>
        <w:fldChar w:fldCharType="separate"/>
      </w:r>
      <w:r>
        <w:t>16</w:t>
      </w:r>
      <w:r>
        <w:fldChar w:fldCharType="end"/>
      </w:r>
      <w:r>
        <w:fldChar w:fldCharType="end"/>
      </w:r>
    </w:p>
    <w:p w14:paraId="7533FEE9">
      <w:pPr>
        <w:pStyle w:val="12"/>
        <w:tabs>
          <w:tab w:val="right" w:leader="dot" w:pos="8296"/>
        </w:tabs>
      </w:pPr>
      <w:r>
        <w:fldChar w:fldCharType="begin"/>
      </w:r>
      <w:r>
        <w:instrText xml:space="preserve"> HYPERLINK \l "_Toc201943570" </w:instrText>
      </w:r>
      <w:r>
        <w:fldChar w:fldCharType="separate"/>
      </w:r>
      <w:r>
        <w:rPr>
          <w:rStyle w:val="21"/>
          <w:u w:val="none"/>
        </w:rPr>
        <w:t xml:space="preserve">7  </w:t>
      </w:r>
      <w:r>
        <w:rPr>
          <w:rStyle w:val="21"/>
          <w:rFonts w:hAnsi="宋体"/>
          <w:u w:val="none"/>
        </w:rPr>
        <w:t>混凝土质量检验</w:t>
      </w:r>
      <w:r>
        <w:tab/>
      </w:r>
      <w:r>
        <w:fldChar w:fldCharType="begin"/>
      </w:r>
      <w:r>
        <w:instrText xml:space="preserve"> PAGEREF _Toc201943570 \h </w:instrText>
      </w:r>
      <w:r>
        <w:fldChar w:fldCharType="separate"/>
      </w:r>
      <w:r>
        <w:t>18</w:t>
      </w:r>
      <w:r>
        <w:fldChar w:fldCharType="end"/>
      </w:r>
      <w:r>
        <w:fldChar w:fldCharType="end"/>
      </w:r>
    </w:p>
    <w:p w14:paraId="7533FEEA">
      <w:pPr>
        <w:pStyle w:val="13"/>
        <w:tabs>
          <w:tab w:val="right" w:leader="dot" w:pos="8296"/>
        </w:tabs>
        <w:ind w:left="193" w:leftChars="0"/>
      </w:pPr>
      <w:r>
        <w:fldChar w:fldCharType="begin"/>
      </w:r>
      <w:r>
        <w:instrText xml:space="preserve"> HYPERLINK \l "_Toc201943571" </w:instrText>
      </w:r>
      <w:r>
        <w:fldChar w:fldCharType="separate"/>
      </w:r>
      <w:r>
        <w:rPr>
          <w:rStyle w:val="21"/>
          <w:bCs/>
          <w:u w:val="none"/>
        </w:rPr>
        <w:t xml:space="preserve">7.1  </w:t>
      </w:r>
      <w:r>
        <w:rPr>
          <w:rStyle w:val="21"/>
          <w:rFonts w:hAnsi="宋体"/>
          <w:bCs/>
          <w:u w:val="none"/>
        </w:rPr>
        <w:t>混凝土原材料质量检验</w:t>
      </w:r>
      <w:r>
        <w:tab/>
      </w:r>
      <w:r>
        <w:fldChar w:fldCharType="begin"/>
      </w:r>
      <w:r>
        <w:instrText xml:space="preserve"> PAGEREF _Toc201943571 \h </w:instrText>
      </w:r>
      <w:r>
        <w:fldChar w:fldCharType="separate"/>
      </w:r>
      <w:r>
        <w:t>18</w:t>
      </w:r>
      <w:r>
        <w:fldChar w:fldCharType="end"/>
      </w:r>
      <w:r>
        <w:fldChar w:fldCharType="end"/>
      </w:r>
    </w:p>
    <w:p w14:paraId="7533FEEB">
      <w:pPr>
        <w:pStyle w:val="13"/>
        <w:tabs>
          <w:tab w:val="right" w:leader="dot" w:pos="8296"/>
        </w:tabs>
        <w:ind w:left="193" w:leftChars="0"/>
      </w:pPr>
      <w:r>
        <w:fldChar w:fldCharType="begin"/>
      </w:r>
      <w:r>
        <w:instrText xml:space="preserve"> HYPERLINK \l "_Toc201943572" </w:instrText>
      </w:r>
      <w:r>
        <w:fldChar w:fldCharType="separate"/>
      </w:r>
      <w:r>
        <w:rPr>
          <w:rStyle w:val="21"/>
          <w:bCs/>
          <w:u w:val="none"/>
        </w:rPr>
        <w:t xml:space="preserve">7.2  </w:t>
      </w:r>
      <w:r>
        <w:rPr>
          <w:rStyle w:val="21"/>
          <w:rFonts w:hAnsi="宋体"/>
          <w:bCs/>
          <w:u w:val="none"/>
        </w:rPr>
        <w:t>混凝土拌合物性能检验</w:t>
      </w:r>
      <w:r>
        <w:tab/>
      </w:r>
      <w:r>
        <w:fldChar w:fldCharType="begin"/>
      </w:r>
      <w:r>
        <w:instrText xml:space="preserve"> PAGEREF _Toc201943572 \h </w:instrText>
      </w:r>
      <w:r>
        <w:fldChar w:fldCharType="separate"/>
      </w:r>
      <w:r>
        <w:t>20</w:t>
      </w:r>
      <w:r>
        <w:fldChar w:fldCharType="end"/>
      </w:r>
      <w:r>
        <w:fldChar w:fldCharType="end"/>
      </w:r>
    </w:p>
    <w:p w14:paraId="7533FEEC">
      <w:pPr>
        <w:pStyle w:val="13"/>
        <w:tabs>
          <w:tab w:val="right" w:leader="dot" w:pos="8296"/>
        </w:tabs>
        <w:ind w:left="193" w:leftChars="0"/>
      </w:pPr>
      <w:r>
        <w:fldChar w:fldCharType="begin"/>
      </w:r>
      <w:r>
        <w:instrText xml:space="preserve"> HYPERLINK \l "_Toc201943573" </w:instrText>
      </w:r>
      <w:r>
        <w:fldChar w:fldCharType="separate"/>
      </w:r>
      <w:r>
        <w:rPr>
          <w:rStyle w:val="21"/>
          <w:bCs/>
          <w:u w:val="none"/>
        </w:rPr>
        <w:t xml:space="preserve">7.3  </w:t>
      </w:r>
      <w:r>
        <w:rPr>
          <w:rStyle w:val="21"/>
          <w:rFonts w:hAnsi="宋体"/>
          <w:bCs/>
          <w:u w:val="none"/>
        </w:rPr>
        <w:t>硬化混凝土性能检验</w:t>
      </w:r>
      <w:r>
        <w:tab/>
      </w:r>
      <w:r>
        <w:fldChar w:fldCharType="begin"/>
      </w:r>
      <w:r>
        <w:instrText xml:space="preserve"> PAGEREF _Toc201943573 \h </w:instrText>
      </w:r>
      <w:r>
        <w:fldChar w:fldCharType="separate"/>
      </w:r>
      <w:r>
        <w:t>20</w:t>
      </w:r>
      <w:r>
        <w:fldChar w:fldCharType="end"/>
      </w:r>
      <w:r>
        <w:fldChar w:fldCharType="end"/>
      </w:r>
    </w:p>
    <w:p w14:paraId="7533FEED">
      <w:pPr>
        <w:pStyle w:val="13"/>
        <w:tabs>
          <w:tab w:val="right" w:leader="dot" w:pos="8296"/>
        </w:tabs>
        <w:ind w:left="193" w:leftChars="0"/>
      </w:pPr>
      <w:r>
        <w:fldChar w:fldCharType="begin"/>
      </w:r>
      <w:r>
        <w:instrText xml:space="preserve"> HYPERLINK \l "_Toc201943574" </w:instrText>
      </w:r>
      <w:r>
        <w:fldChar w:fldCharType="separate"/>
      </w:r>
      <w:r>
        <w:rPr>
          <w:rStyle w:val="21"/>
          <w:bCs/>
          <w:u w:val="none"/>
        </w:rPr>
        <w:t xml:space="preserve">7.4 </w:t>
      </w:r>
      <w:r>
        <w:rPr>
          <w:rStyle w:val="21"/>
          <w:rFonts w:hint="eastAsia"/>
          <w:bCs/>
          <w:u w:val="none"/>
        </w:rPr>
        <w:t xml:space="preserve"> </w:t>
      </w:r>
      <w:r>
        <w:rPr>
          <w:rStyle w:val="21"/>
          <w:bCs/>
          <w:u w:val="none"/>
        </w:rPr>
        <w:t>质量验收</w:t>
      </w:r>
      <w:r>
        <w:tab/>
      </w:r>
      <w:r>
        <w:fldChar w:fldCharType="begin"/>
      </w:r>
      <w:r>
        <w:instrText xml:space="preserve"> PAGEREF _Toc201943574 \h </w:instrText>
      </w:r>
      <w:r>
        <w:fldChar w:fldCharType="separate"/>
      </w:r>
      <w:r>
        <w:t>20</w:t>
      </w:r>
      <w:r>
        <w:fldChar w:fldCharType="end"/>
      </w:r>
      <w:r>
        <w:fldChar w:fldCharType="end"/>
      </w:r>
    </w:p>
    <w:p w14:paraId="7533FEEE">
      <w:pPr>
        <w:pStyle w:val="12"/>
        <w:tabs>
          <w:tab w:val="right" w:leader="dot" w:pos="8296"/>
        </w:tabs>
      </w:pPr>
      <w:r>
        <w:fldChar w:fldCharType="begin"/>
      </w:r>
      <w:r>
        <w:instrText xml:space="preserve"> HYPERLINK \l "_Toc201943575" </w:instrText>
      </w:r>
      <w:r>
        <w:fldChar w:fldCharType="separate"/>
      </w:r>
      <w:r>
        <w:rPr>
          <w:rStyle w:val="21"/>
          <w:rFonts w:hAnsi="宋体"/>
          <w:u w:val="none"/>
        </w:rPr>
        <w:t>本标准用词说明</w:t>
      </w:r>
      <w:r>
        <w:tab/>
      </w:r>
      <w:r>
        <w:fldChar w:fldCharType="begin"/>
      </w:r>
      <w:r>
        <w:instrText xml:space="preserve"> PAGEREF _Toc201943575 \h </w:instrText>
      </w:r>
      <w:r>
        <w:fldChar w:fldCharType="separate"/>
      </w:r>
      <w:r>
        <w:t>21</w:t>
      </w:r>
      <w:r>
        <w:fldChar w:fldCharType="end"/>
      </w:r>
      <w:r>
        <w:fldChar w:fldCharType="end"/>
      </w:r>
    </w:p>
    <w:p w14:paraId="7533FEEF">
      <w:pPr>
        <w:pStyle w:val="12"/>
        <w:tabs>
          <w:tab w:val="right" w:leader="dot" w:pos="8296"/>
        </w:tabs>
      </w:pPr>
      <w:r>
        <w:fldChar w:fldCharType="begin"/>
      </w:r>
      <w:r>
        <w:instrText xml:space="preserve"> HYPERLINK \l "_Toc201943576" </w:instrText>
      </w:r>
      <w:r>
        <w:fldChar w:fldCharType="separate"/>
      </w:r>
      <w:r>
        <w:rPr>
          <w:rStyle w:val="21"/>
          <w:rFonts w:hAnsi="宋体"/>
          <w:u w:val="none"/>
        </w:rPr>
        <w:t>引用标准名录</w:t>
      </w:r>
      <w:r>
        <w:tab/>
      </w:r>
      <w:r>
        <w:fldChar w:fldCharType="begin"/>
      </w:r>
      <w:r>
        <w:instrText xml:space="preserve"> PAGEREF _Toc201943576 \h </w:instrText>
      </w:r>
      <w:r>
        <w:fldChar w:fldCharType="separate"/>
      </w:r>
      <w:r>
        <w:t>22</w:t>
      </w:r>
      <w:r>
        <w:fldChar w:fldCharType="end"/>
      </w:r>
      <w:r>
        <w:fldChar w:fldCharType="end"/>
      </w:r>
    </w:p>
    <w:p w14:paraId="7533FEF0">
      <w:pPr>
        <w:pStyle w:val="24"/>
        <w:tabs>
          <w:tab w:val="right" w:leader="dot" w:pos="8296"/>
        </w:tabs>
        <w:spacing w:before="0" w:after="0"/>
        <w:rPr>
          <w:b w:val="0"/>
          <w:bCs w:val="0"/>
          <w:caps w:val="0"/>
          <w:sz w:val="21"/>
          <w:szCs w:val="21"/>
        </w:rPr>
      </w:pPr>
      <w:r>
        <w:rPr>
          <w:b w:val="0"/>
          <w:sz w:val="21"/>
          <w:szCs w:val="21"/>
        </w:rPr>
        <w:fldChar w:fldCharType="end"/>
      </w:r>
    </w:p>
    <w:p w14:paraId="7533FEF1">
      <w:pPr>
        <w:topLinePunct/>
        <w:adjustRightInd w:val="0"/>
        <w:snapToGrid w:val="0"/>
        <w:jc w:val="center"/>
        <w:rPr>
          <w:szCs w:val="21"/>
        </w:rPr>
        <w:sectPr>
          <w:footerReference r:id="rId7" w:type="default"/>
          <w:pgSz w:w="11906" w:h="16838"/>
          <w:pgMar w:top="1440" w:right="1800" w:bottom="1440" w:left="1800" w:header="851" w:footer="992" w:gutter="0"/>
          <w:pgNumType w:fmt="upperRoman"/>
          <w:cols w:space="425" w:num="1"/>
          <w:docGrid w:type="lines" w:linePitch="312" w:charSpace="0"/>
        </w:sectPr>
      </w:pPr>
    </w:p>
    <w:p w14:paraId="7533FEF2">
      <w:pPr>
        <w:topLinePunct/>
        <w:adjustRightInd w:val="0"/>
        <w:snapToGrid w:val="0"/>
        <w:spacing w:line="360" w:lineRule="auto"/>
        <w:jc w:val="center"/>
        <w:rPr>
          <w:sz w:val="28"/>
          <w:szCs w:val="28"/>
        </w:rPr>
      </w:pPr>
      <w:r>
        <w:rPr>
          <w:sz w:val="28"/>
          <w:szCs w:val="28"/>
        </w:rPr>
        <w:t>Content</w:t>
      </w:r>
    </w:p>
    <w:p w14:paraId="7533FEF3">
      <w:pPr>
        <w:tabs>
          <w:tab w:val="right" w:leader="dot" w:pos="8296"/>
        </w:tabs>
        <w:snapToGrid w:val="0"/>
        <w:jc w:val="center"/>
        <w:rPr>
          <w:szCs w:val="21"/>
        </w:rPr>
      </w:pPr>
      <w:r>
        <w:rPr>
          <w:bCs/>
          <w:szCs w:val="21"/>
        </w:rPr>
        <w:fldChar w:fldCharType="begin"/>
      </w:r>
      <w:r>
        <w:rPr>
          <w:bCs/>
          <w:szCs w:val="21"/>
        </w:rPr>
        <w:instrText xml:space="preserve"> TOC \o "1-2" \h \z \u </w:instrText>
      </w:r>
      <w:r>
        <w:rPr>
          <w:bCs/>
          <w:szCs w:val="21"/>
        </w:rPr>
        <w:fldChar w:fldCharType="separate"/>
      </w:r>
      <w:r>
        <w:fldChar w:fldCharType="begin"/>
      </w:r>
      <w:r>
        <w:instrText xml:space="preserve"> HYPERLINK \l "_Toc261958067" </w:instrText>
      </w:r>
      <w:r>
        <w:fldChar w:fldCharType="separate"/>
      </w:r>
      <w:r>
        <w:rPr>
          <w:bCs/>
        </w:rPr>
        <w:t xml:space="preserve">1  General </w:t>
      </w:r>
      <w:r>
        <w:rPr>
          <w:rFonts w:hint="eastAsia"/>
          <w:bCs/>
        </w:rPr>
        <w:t>P</w:t>
      </w:r>
      <w:r>
        <w:rPr>
          <w:bCs/>
        </w:rPr>
        <w:t>rovisions</w:t>
      </w:r>
      <w:r>
        <w:rPr>
          <w:bCs/>
          <w:szCs w:val="21"/>
        </w:rPr>
        <w:tab/>
      </w:r>
      <w:r>
        <w:rPr>
          <w:bCs/>
          <w:szCs w:val="21"/>
        </w:rPr>
        <w:t>1</w:t>
      </w:r>
      <w:r>
        <w:rPr>
          <w:bCs/>
          <w:szCs w:val="21"/>
        </w:rPr>
        <w:fldChar w:fldCharType="end"/>
      </w:r>
    </w:p>
    <w:p w14:paraId="7533FEF4">
      <w:pPr>
        <w:tabs>
          <w:tab w:val="right" w:leader="dot" w:pos="8296"/>
        </w:tabs>
        <w:snapToGrid w:val="0"/>
        <w:jc w:val="center"/>
        <w:rPr>
          <w:szCs w:val="21"/>
        </w:rPr>
      </w:pPr>
      <w:r>
        <w:fldChar w:fldCharType="begin"/>
      </w:r>
      <w:r>
        <w:instrText xml:space="preserve"> HYPERLINK \l "_Toc261958068" </w:instrText>
      </w:r>
      <w:r>
        <w:fldChar w:fldCharType="separate"/>
      </w:r>
      <w:r>
        <w:rPr>
          <w:bCs/>
        </w:rPr>
        <w:t xml:space="preserve">2  Quality </w:t>
      </w:r>
      <w:r>
        <w:rPr>
          <w:rFonts w:hint="eastAsia"/>
          <w:bCs/>
        </w:rPr>
        <w:t>C</w:t>
      </w:r>
      <w:r>
        <w:rPr>
          <w:bCs/>
        </w:rPr>
        <w:t xml:space="preserve">ontrol of </w:t>
      </w:r>
      <w:r>
        <w:rPr>
          <w:rFonts w:hint="eastAsia"/>
          <w:bCs/>
        </w:rPr>
        <w:t>R</w:t>
      </w:r>
      <w:r>
        <w:rPr>
          <w:bCs/>
        </w:rPr>
        <w:t xml:space="preserve">aw </w:t>
      </w:r>
      <w:r>
        <w:rPr>
          <w:rFonts w:hint="eastAsia"/>
          <w:bCs/>
        </w:rPr>
        <w:t>M</w:t>
      </w:r>
      <w:r>
        <w:rPr>
          <w:bCs/>
        </w:rPr>
        <w:t>aterials</w:t>
      </w:r>
      <w:r>
        <w:rPr>
          <w:bCs/>
          <w:szCs w:val="21"/>
        </w:rPr>
        <w:tab/>
      </w:r>
      <w:r>
        <w:rPr>
          <w:bCs/>
          <w:szCs w:val="21"/>
        </w:rPr>
        <w:t>2</w:t>
      </w:r>
      <w:r>
        <w:rPr>
          <w:bCs/>
          <w:szCs w:val="21"/>
        </w:rPr>
        <w:fldChar w:fldCharType="end"/>
      </w:r>
    </w:p>
    <w:p w14:paraId="7533FEF5">
      <w:pPr>
        <w:tabs>
          <w:tab w:val="right" w:leader="dot" w:pos="8296"/>
        </w:tabs>
        <w:ind w:left="420" w:leftChars="200"/>
        <w:rPr>
          <w:szCs w:val="21"/>
        </w:rPr>
      </w:pPr>
      <w:r>
        <w:fldChar w:fldCharType="begin"/>
      </w:r>
      <w:r>
        <w:instrText xml:space="preserve"> HYPERLINK \l "_Toc261958069" </w:instrText>
      </w:r>
      <w:r>
        <w:fldChar w:fldCharType="separate"/>
      </w:r>
      <w:r>
        <w:rPr>
          <w:bCs/>
        </w:rPr>
        <w:t>2.1 Cement</w:t>
      </w:r>
      <w:r>
        <w:rPr>
          <w:szCs w:val="21"/>
        </w:rPr>
        <w:tab/>
      </w:r>
      <w:r>
        <w:rPr>
          <w:szCs w:val="21"/>
        </w:rPr>
        <w:t>2</w:t>
      </w:r>
      <w:r>
        <w:rPr>
          <w:szCs w:val="21"/>
        </w:rPr>
        <w:fldChar w:fldCharType="end"/>
      </w:r>
    </w:p>
    <w:p w14:paraId="7533FEF6">
      <w:pPr>
        <w:tabs>
          <w:tab w:val="right" w:leader="dot" w:pos="8296"/>
        </w:tabs>
        <w:ind w:left="420" w:leftChars="200"/>
        <w:rPr>
          <w:szCs w:val="21"/>
        </w:rPr>
      </w:pPr>
      <w:r>
        <w:fldChar w:fldCharType="begin"/>
      </w:r>
      <w:r>
        <w:instrText xml:space="preserve"> HYPERLINK \l "_Toc261958070" </w:instrText>
      </w:r>
      <w:r>
        <w:fldChar w:fldCharType="separate"/>
      </w:r>
      <w:r>
        <w:rPr>
          <w:bCs/>
        </w:rPr>
        <w:t xml:space="preserve">2.2 Coarse </w:t>
      </w:r>
      <w:r>
        <w:rPr>
          <w:rFonts w:hint="eastAsia"/>
          <w:bCs/>
        </w:rPr>
        <w:t>A</w:t>
      </w:r>
      <w:r>
        <w:rPr>
          <w:bCs/>
        </w:rPr>
        <w:t>ggregate</w:t>
      </w:r>
      <w:r>
        <w:rPr>
          <w:szCs w:val="21"/>
        </w:rPr>
        <w:tab/>
      </w:r>
      <w:r>
        <w:rPr>
          <w:szCs w:val="21"/>
        </w:rPr>
        <w:t>2</w:t>
      </w:r>
      <w:r>
        <w:rPr>
          <w:szCs w:val="21"/>
        </w:rPr>
        <w:fldChar w:fldCharType="end"/>
      </w:r>
    </w:p>
    <w:p w14:paraId="7533FEF7">
      <w:pPr>
        <w:tabs>
          <w:tab w:val="right" w:leader="dot" w:pos="8296"/>
        </w:tabs>
        <w:ind w:left="420" w:leftChars="200"/>
        <w:rPr>
          <w:szCs w:val="21"/>
        </w:rPr>
      </w:pPr>
      <w:r>
        <w:fldChar w:fldCharType="begin"/>
      </w:r>
      <w:r>
        <w:instrText xml:space="preserve"> HYPERLINK \l "_Toc261958071" </w:instrText>
      </w:r>
      <w:r>
        <w:fldChar w:fldCharType="separate"/>
      </w:r>
      <w:r>
        <w:rPr>
          <w:bCs/>
        </w:rPr>
        <w:t xml:space="preserve">2.3 Fine </w:t>
      </w:r>
      <w:r>
        <w:rPr>
          <w:rFonts w:hint="eastAsia"/>
          <w:bCs/>
        </w:rPr>
        <w:t>A</w:t>
      </w:r>
      <w:r>
        <w:rPr>
          <w:bCs/>
        </w:rPr>
        <w:t>ggregate</w:t>
      </w:r>
      <w:r>
        <w:rPr>
          <w:szCs w:val="21"/>
        </w:rPr>
        <w:tab/>
      </w:r>
      <w:r>
        <w:rPr>
          <w:szCs w:val="21"/>
        </w:rPr>
        <w:t>3</w:t>
      </w:r>
      <w:r>
        <w:rPr>
          <w:szCs w:val="21"/>
        </w:rPr>
        <w:fldChar w:fldCharType="end"/>
      </w:r>
    </w:p>
    <w:p w14:paraId="7533FEF8">
      <w:pPr>
        <w:tabs>
          <w:tab w:val="right" w:leader="dot" w:pos="8296"/>
        </w:tabs>
        <w:ind w:left="420" w:leftChars="200"/>
        <w:rPr>
          <w:szCs w:val="21"/>
        </w:rPr>
      </w:pPr>
      <w:r>
        <w:fldChar w:fldCharType="begin"/>
      </w:r>
      <w:r>
        <w:instrText xml:space="preserve"> HYPERLINK \l "_Toc261958072" </w:instrText>
      </w:r>
      <w:r>
        <w:fldChar w:fldCharType="separate"/>
      </w:r>
      <w:r>
        <w:rPr>
          <w:bCs/>
        </w:rPr>
        <w:t xml:space="preserve">2.4 Mineral </w:t>
      </w:r>
      <w:r>
        <w:rPr>
          <w:rFonts w:hint="eastAsia"/>
          <w:bCs/>
        </w:rPr>
        <w:t>A</w:t>
      </w:r>
      <w:r>
        <w:rPr>
          <w:bCs/>
        </w:rPr>
        <w:t>dmixture</w:t>
      </w:r>
      <w:r>
        <w:rPr>
          <w:szCs w:val="21"/>
        </w:rPr>
        <w:tab/>
      </w:r>
      <w:r>
        <w:rPr>
          <w:szCs w:val="21"/>
        </w:rPr>
        <w:t>4</w:t>
      </w:r>
      <w:r>
        <w:rPr>
          <w:szCs w:val="21"/>
        </w:rPr>
        <w:fldChar w:fldCharType="end"/>
      </w:r>
    </w:p>
    <w:p w14:paraId="7533FEF9">
      <w:pPr>
        <w:tabs>
          <w:tab w:val="right" w:leader="dot" w:pos="8296"/>
        </w:tabs>
        <w:ind w:left="420" w:leftChars="200"/>
        <w:rPr>
          <w:szCs w:val="21"/>
        </w:rPr>
      </w:pPr>
      <w:r>
        <w:fldChar w:fldCharType="begin"/>
      </w:r>
      <w:r>
        <w:instrText xml:space="preserve"> HYPERLINK \l "_Toc261958073" </w:instrText>
      </w:r>
      <w:r>
        <w:fldChar w:fldCharType="separate"/>
      </w:r>
      <w:r>
        <w:rPr>
          <w:bCs/>
        </w:rPr>
        <w:t xml:space="preserve">2.5 Chemical </w:t>
      </w:r>
      <w:r>
        <w:rPr>
          <w:rFonts w:hint="eastAsia"/>
          <w:bCs/>
        </w:rPr>
        <w:t>A</w:t>
      </w:r>
      <w:r>
        <w:rPr>
          <w:bCs/>
        </w:rPr>
        <w:t>dmixture</w:t>
      </w:r>
      <w:r>
        <w:rPr>
          <w:szCs w:val="21"/>
        </w:rPr>
        <w:tab/>
      </w:r>
      <w:r>
        <w:rPr>
          <w:rFonts w:hint="eastAsia"/>
          <w:szCs w:val="21"/>
        </w:rPr>
        <w:t>5</w:t>
      </w:r>
      <w:r>
        <w:rPr>
          <w:rFonts w:hint="eastAsia"/>
          <w:szCs w:val="21"/>
        </w:rPr>
        <w:fldChar w:fldCharType="end"/>
      </w:r>
    </w:p>
    <w:p w14:paraId="7533FEFA">
      <w:pPr>
        <w:tabs>
          <w:tab w:val="right" w:leader="dot" w:pos="8296"/>
        </w:tabs>
        <w:ind w:left="420" w:leftChars="200"/>
        <w:rPr>
          <w:szCs w:val="21"/>
        </w:rPr>
      </w:pPr>
      <w:r>
        <w:fldChar w:fldCharType="begin"/>
      </w:r>
      <w:r>
        <w:instrText xml:space="preserve"> HYPERLINK \l "_Toc261958074" </w:instrText>
      </w:r>
      <w:r>
        <w:fldChar w:fldCharType="separate"/>
      </w:r>
      <w:r>
        <w:rPr>
          <w:bCs/>
        </w:rPr>
        <w:t>2.6 Water</w:t>
      </w:r>
      <w:r>
        <w:rPr>
          <w:szCs w:val="21"/>
        </w:rPr>
        <w:tab/>
      </w:r>
      <w:r>
        <w:rPr>
          <w:rFonts w:hint="eastAsia"/>
          <w:szCs w:val="21"/>
        </w:rPr>
        <w:t>6</w:t>
      </w:r>
      <w:r>
        <w:rPr>
          <w:rFonts w:hint="eastAsia"/>
          <w:szCs w:val="21"/>
        </w:rPr>
        <w:fldChar w:fldCharType="end"/>
      </w:r>
    </w:p>
    <w:p w14:paraId="7533FEFB">
      <w:pPr>
        <w:tabs>
          <w:tab w:val="right" w:leader="dot" w:pos="8296"/>
        </w:tabs>
        <w:ind w:left="420" w:leftChars="200"/>
        <w:rPr>
          <w:szCs w:val="21"/>
        </w:rPr>
      </w:pPr>
      <w:r>
        <w:fldChar w:fldCharType="begin"/>
      </w:r>
      <w:r>
        <w:instrText xml:space="preserve"> HYPERLINK \l "_Toc261958074" </w:instrText>
      </w:r>
      <w:r>
        <w:fldChar w:fldCharType="separate"/>
      </w:r>
      <w:r>
        <w:rPr>
          <w:bCs/>
        </w:rPr>
        <w:t>2.</w:t>
      </w:r>
      <w:r>
        <w:rPr>
          <w:rFonts w:hint="eastAsia"/>
          <w:bCs/>
        </w:rPr>
        <w:t>7</w:t>
      </w:r>
      <w:r>
        <w:rPr>
          <w:bCs/>
        </w:rPr>
        <w:t xml:space="preserve"> </w:t>
      </w:r>
      <w:r>
        <w:rPr>
          <w:rFonts w:hint="eastAsia"/>
          <w:bCs/>
        </w:rPr>
        <w:t>Fiber</w:t>
      </w:r>
      <w:r>
        <w:rPr>
          <w:szCs w:val="21"/>
        </w:rPr>
        <w:tab/>
      </w:r>
      <w:r>
        <w:rPr>
          <w:rFonts w:hint="eastAsia"/>
          <w:szCs w:val="21"/>
        </w:rPr>
        <w:t>6</w:t>
      </w:r>
      <w:r>
        <w:rPr>
          <w:rFonts w:hint="eastAsia"/>
          <w:szCs w:val="21"/>
        </w:rPr>
        <w:fldChar w:fldCharType="end"/>
      </w:r>
    </w:p>
    <w:p w14:paraId="7533FEFC">
      <w:pPr>
        <w:tabs>
          <w:tab w:val="right" w:leader="dot" w:pos="8296"/>
        </w:tabs>
        <w:snapToGrid w:val="0"/>
        <w:jc w:val="center"/>
        <w:rPr>
          <w:szCs w:val="21"/>
        </w:rPr>
      </w:pPr>
      <w:r>
        <w:fldChar w:fldCharType="begin"/>
      </w:r>
      <w:r>
        <w:instrText xml:space="preserve"> HYPERLINK \l "_Toc261958075" </w:instrText>
      </w:r>
      <w:r>
        <w:fldChar w:fldCharType="separate"/>
      </w:r>
      <w:r>
        <w:rPr>
          <w:bCs/>
        </w:rPr>
        <w:t xml:space="preserve">3  Specification for </w:t>
      </w:r>
      <w:r>
        <w:rPr>
          <w:rFonts w:hint="eastAsia"/>
          <w:bCs/>
        </w:rPr>
        <w:t>T</w:t>
      </w:r>
      <w:r>
        <w:rPr>
          <w:bCs/>
        </w:rPr>
        <w:t xml:space="preserve">echnical </w:t>
      </w:r>
      <w:r>
        <w:rPr>
          <w:rFonts w:hint="eastAsia"/>
          <w:bCs/>
        </w:rPr>
        <w:t>P</w:t>
      </w:r>
      <w:r>
        <w:rPr>
          <w:bCs/>
        </w:rPr>
        <w:t xml:space="preserve">roperties of </w:t>
      </w:r>
      <w:r>
        <w:rPr>
          <w:rFonts w:hint="eastAsia"/>
          <w:bCs/>
        </w:rPr>
        <w:t>C</w:t>
      </w:r>
      <w:r>
        <w:rPr>
          <w:bCs/>
        </w:rPr>
        <w:t>oncrete</w:t>
      </w:r>
      <w:r>
        <w:rPr>
          <w:bCs/>
          <w:szCs w:val="21"/>
        </w:rPr>
        <w:tab/>
      </w:r>
      <w:r>
        <w:rPr>
          <w:rFonts w:hint="eastAsia"/>
          <w:bCs/>
          <w:szCs w:val="21"/>
        </w:rPr>
        <w:t>7</w:t>
      </w:r>
      <w:r>
        <w:rPr>
          <w:rFonts w:hint="eastAsia"/>
          <w:bCs/>
          <w:szCs w:val="21"/>
        </w:rPr>
        <w:fldChar w:fldCharType="end"/>
      </w:r>
    </w:p>
    <w:p w14:paraId="7533FEFD">
      <w:pPr>
        <w:tabs>
          <w:tab w:val="right" w:leader="dot" w:pos="8296"/>
        </w:tabs>
        <w:ind w:left="420" w:leftChars="200"/>
        <w:rPr>
          <w:szCs w:val="21"/>
        </w:rPr>
      </w:pPr>
      <w:r>
        <w:fldChar w:fldCharType="begin"/>
      </w:r>
      <w:r>
        <w:instrText xml:space="preserve"> HYPERLINK \l "_Toc261958076" </w:instrText>
      </w:r>
      <w:r>
        <w:fldChar w:fldCharType="separate"/>
      </w:r>
      <w:r>
        <w:rPr>
          <w:bCs/>
        </w:rPr>
        <w:t xml:space="preserve">3.1 Mixture </w:t>
      </w:r>
      <w:r>
        <w:rPr>
          <w:rFonts w:hint="eastAsia"/>
          <w:bCs/>
        </w:rPr>
        <w:t>P</w:t>
      </w:r>
      <w:r>
        <w:rPr>
          <w:bCs/>
        </w:rPr>
        <w:t>roperties</w:t>
      </w:r>
      <w:r>
        <w:rPr>
          <w:szCs w:val="21"/>
        </w:rPr>
        <w:tab/>
      </w:r>
      <w:r>
        <w:rPr>
          <w:rFonts w:hint="eastAsia"/>
          <w:szCs w:val="21"/>
        </w:rPr>
        <w:t>7</w:t>
      </w:r>
      <w:r>
        <w:rPr>
          <w:rFonts w:hint="eastAsia"/>
          <w:szCs w:val="21"/>
        </w:rPr>
        <w:fldChar w:fldCharType="end"/>
      </w:r>
    </w:p>
    <w:p w14:paraId="7533FEFE">
      <w:pPr>
        <w:tabs>
          <w:tab w:val="right" w:leader="dot" w:pos="8296"/>
        </w:tabs>
        <w:ind w:left="420" w:leftChars="200"/>
        <w:rPr>
          <w:szCs w:val="21"/>
        </w:rPr>
      </w:pPr>
      <w:r>
        <w:fldChar w:fldCharType="begin"/>
      </w:r>
      <w:r>
        <w:instrText xml:space="preserve"> HYPERLINK \l "_Toc261958077" </w:instrText>
      </w:r>
      <w:r>
        <w:fldChar w:fldCharType="separate"/>
      </w:r>
      <w:r>
        <w:rPr>
          <w:bCs/>
        </w:rPr>
        <w:t xml:space="preserve">3.2 Mechanical </w:t>
      </w:r>
      <w:r>
        <w:rPr>
          <w:rFonts w:hint="eastAsia"/>
          <w:bCs/>
        </w:rPr>
        <w:t>P</w:t>
      </w:r>
      <w:r>
        <w:rPr>
          <w:bCs/>
        </w:rPr>
        <w:t>roperties</w:t>
      </w:r>
      <w:r>
        <w:rPr>
          <w:szCs w:val="21"/>
        </w:rPr>
        <w:tab/>
      </w:r>
      <w:r>
        <w:rPr>
          <w:rFonts w:hint="eastAsia"/>
          <w:szCs w:val="21"/>
        </w:rPr>
        <w:t>8</w:t>
      </w:r>
      <w:r>
        <w:rPr>
          <w:rFonts w:hint="eastAsia"/>
          <w:szCs w:val="21"/>
        </w:rPr>
        <w:fldChar w:fldCharType="end"/>
      </w:r>
    </w:p>
    <w:p w14:paraId="7533FEFF">
      <w:pPr>
        <w:tabs>
          <w:tab w:val="right" w:leader="dot" w:pos="8296"/>
        </w:tabs>
        <w:ind w:left="420" w:leftChars="200"/>
        <w:rPr>
          <w:szCs w:val="21"/>
        </w:rPr>
      </w:pPr>
      <w:r>
        <w:fldChar w:fldCharType="begin"/>
      </w:r>
      <w:r>
        <w:instrText xml:space="preserve"> HYPERLINK \l "_Toc261958078" </w:instrText>
      </w:r>
      <w:r>
        <w:fldChar w:fldCharType="separate"/>
      </w:r>
      <w:r>
        <w:rPr>
          <w:bCs/>
        </w:rPr>
        <w:t xml:space="preserve">3.3 Long-Term </w:t>
      </w:r>
      <w:r>
        <w:rPr>
          <w:rFonts w:hint="eastAsia"/>
          <w:bCs/>
        </w:rPr>
        <w:t>P</w:t>
      </w:r>
      <w:r>
        <w:rPr>
          <w:bCs/>
        </w:rPr>
        <w:t xml:space="preserve">roperties and </w:t>
      </w:r>
      <w:r>
        <w:rPr>
          <w:rFonts w:hint="eastAsia"/>
          <w:bCs/>
        </w:rPr>
        <w:t>D</w:t>
      </w:r>
      <w:r>
        <w:rPr>
          <w:bCs/>
        </w:rPr>
        <w:t xml:space="preserve">urable </w:t>
      </w:r>
      <w:r>
        <w:rPr>
          <w:rFonts w:hint="eastAsia"/>
          <w:bCs/>
        </w:rPr>
        <w:t>P</w:t>
      </w:r>
      <w:r>
        <w:rPr>
          <w:bCs/>
        </w:rPr>
        <w:t>roperties</w:t>
      </w:r>
      <w:r>
        <w:rPr>
          <w:szCs w:val="21"/>
        </w:rPr>
        <w:tab/>
      </w:r>
      <w:r>
        <w:rPr>
          <w:rFonts w:hint="eastAsia"/>
          <w:szCs w:val="21"/>
        </w:rPr>
        <w:t>9</w:t>
      </w:r>
      <w:r>
        <w:rPr>
          <w:rFonts w:hint="eastAsia"/>
          <w:szCs w:val="21"/>
        </w:rPr>
        <w:fldChar w:fldCharType="end"/>
      </w:r>
    </w:p>
    <w:p w14:paraId="7533FF00">
      <w:pPr>
        <w:tabs>
          <w:tab w:val="right" w:leader="dot" w:pos="8296"/>
        </w:tabs>
        <w:snapToGrid w:val="0"/>
        <w:jc w:val="center"/>
        <w:rPr>
          <w:szCs w:val="21"/>
        </w:rPr>
      </w:pPr>
      <w:r>
        <w:fldChar w:fldCharType="begin"/>
      </w:r>
      <w:r>
        <w:instrText xml:space="preserve"> HYPERLINK \l "_Toc261958079" </w:instrText>
      </w:r>
      <w:r>
        <w:fldChar w:fldCharType="separate"/>
      </w:r>
      <w:r>
        <w:rPr>
          <w:bCs/>
        </w:rPr>
        <w:t xml:space="preserve">4  Control of </w:t>
      </w:r>
      <w:r>
        <w:rPr>
          <w:rFonts w:hint="eastAsia"/>
          <w:bCs/>
        </w:rPr>
        <w:t>M</w:t>
      </w:r>
      <w:r>
        <w:rPr>
          <w:bCs/>
        </w:rPr>
        <w:t xml:space="preserve">ix </w:t>
      </w:r>
      <w:r>
        <w:rPr>
          <w:rFonts w:hint="eastAsia"/>
          <w:bCs/>
        </w:rPr>
        <w:t>D</w:t>
      </w:r>
      <w:r>
        <w:rPr>
          <w:bCs/>
        </w:rPr>
        <w:t>esign</w:t>
      </w:r>
      <w:r>
        <w:rPr>
          <w:bCs/>
          <w:szCs w:val="21"/>
        </w:rPr>
        <w:tab/>
      </w:r>
      <w:r>
        <w:rPr>
          <w:bCs/>
          <w:szCs w:val="21"/>
        </w:rPr>
        <w:t>1</w:t>
      </w:r>
      <w:r>
        <w:rPr>
          <w:rFonts w:hint="eastAsia"/>
          <w:bCs/>
          <w:szCs w:val="21"/>
        </w:rPr>
        <w:t>1</w:t>
      </w:r>
      <w:r>
        <w:rPr>
          <w:rFonts w:hint="eastAsia"/>
          <w:bCs/>
          <w:szCs w:val="21"/>
        </w:rPr>
        <w:fldChar w:fldCharType="end"/>
      </w:r>
    </w:p>
    <w:p w14:paraId="7533FF01">
      <w:pPr>
        <w:tabs>
          <w:tab w:val="right" w:leader="dot" w:pos="8296"/>
        </w:tabs>
        <w:snapToGrid w:val="0"/>
        <w:jc w:val="center"/>
        <w:rPr>
          <w:szCs w:val="21"/>
        </w:rPr>
      </w:pPr>
      <w:r>
        <w:fldChar w:fldCharType="begin"/>
      </w:r>
      <w:r>
        <w:instrText xml:space="preserve"> HYPERLINK \l "_Toc261958084" </w:instrText>
      </w:r>
      <w:r>
        <w:fldChar w:fldCharType="separate"/>
      </w:r>
      <w:r>
        <w:rPr>
          <w:bCs/>
        </w:rPr>
        <w:t xml:space="preserve">5  </w:t>
      </w:r>
      <w:r>
        <w:rPr>
          <w:rFonts w:hint="eastAsia"/>
          <w:bCs/>
        </w:rPr>
        <w:t>P</w:t>
      </w:r>
      <w:r>
        <w:rPr>
          <w:bCs/>
        </w:rPr>
        <w:t xml:space="preserve">roduction </w:t>
      </w:r>
      <w:r>
        <w:rPr>
          <w:rFonts w:hint="eastAsia"/>
          <w:bCs/>
        </w:rPr>
        <w:t>C</w:t>
      </w:r>
      <w:r>
        <w:rPr>
          <w:bCs/>
        </w:rPr>
        <w:t xml:space="preserve">ontrol </w:t>
      </w:r>
      <w:r>
        <w:rPr>
          <w:rFonts w:hint="eastAsia"/>
          <w:bCs/>
        </w:rPr>
        <w:t>L</w:t>
      </w:r>
      <w:r>
        <w:rPr>
          <w:bCs/>
        </w:rPr>
        <w:t>evel</w:t>
      </w:r>
      <w:r>
        <w:rPr>
          <w:bCs/>
          <w:szCs w:val="21"/>
        </w:rPr>
        <w:tab/>
      </w:r>
      <w:r>
        <w:rPr>
          <w:bCs/>
          <w:szCs w:val="21"/>
        </w:rPr>
        <w:t>1</w:t>
      </w:r>
      <w:r>
        <w:rPr>
          <w:rFonts w:hint="eastAsia"/>
          <w:bCs/>
          <w:szCs w:val="21"/>
        </w:rPr>
        <w:t>5</w:t>
      </w:r>
      <w:r>
        <w:rPr>
          <w:rFonts w:hint="eastAsia"/>
          <w:bCs/>
          <w:szCs w:val="21"/>
        </w:rPr>
        <w:fldChar w:fldCharType="end"/>
      </w:r>
    </w:p>
    <w:p w14:paraId="7533FF02">
      <w:pPr>
        <w:tabs>
          <w:tab w:val="right" w:leader="dot" w:pos="8296"/>
        </w:tabs>
        <w:snapToGrid w:val="0"/>
        <w:jc w:val="center"/>
        <w:rPr>
          <w:szCs w:val="21"/>
        </w:rPr>
      </w:pPr>
      <w:r>
        <w:fldChar w:fldCharType="begin"/>
      </w:r>
      <w:r>
        <w:instrText xml:space="preserve"> HYPERLINK \l "_Toc261958085" </w:instrText>
      </w:r>
      <w:r>
        <w:fldChar w:fldCharType="separate"/>
      </w:r>
      <w:r>
        <w:rPr>
          <w:bCs/>
        </w:rPr>
        <w:t xml:space="preserve">6  Quality </w:t>
      </w:r>
      <w:r>
        <w:rPr>
          <w:rFonts w:hint="eastAsia"/>
          <w:bCs/>
        </w:rPr>
        <w:t>C</w:t>
      </w:r>
      <w:r>
        <w:rPr>
          <w:bCs/>
        </w:rPr>
        <w:t xml:space="preserve">ontrol of </w:t>
      </w:r>
      <w:r>
        <w:rPr>
          <w:rFonts w:hint="eastAsia"/>
          <w:bCs/>
        </w:rPr>
        <w:t>P</w:t>
      </w:r>
      <w:r>
        <w:rPr>
          <w:bCs/>
        </w:rPr>
        <w:t xml:space="preserve">roduction </w:t>
      </w:r>
      <w:r>
        <w:rPr>
          <w:rFonts w:hint="eastAsia"/>
          <w:bCs/>
        </w:rPr>
        <w:t>and</w:t>
      </w:r>
      <w:r>
        <w:rPr>
          <w:bCs/>
        </w:rPr>
        <w:t xml:space="preserve"> </w:t>
      </w:r>
      <w:r>
        <w:rPr>
          <w:rFonts w:hint="eastAsia"/>
          <w:bCs/>
        </w:rPr>
        <w:t>C</w:t>
      </w:r>
      <w:r>
        <w:rPr>
          <w:bCs/>
        </w:rPr>
        <w:t>onstruction</w:t>
      </w:r>
      <w:r>
        <w:rPr>
          <w:bCs/>
          <w:szCs w:val="21"/>
        </w:rPr>
        <w:tab/>
      </w:r>
      <w:r>
        <w:rPr>
          <w:bCs/>
          <w:szCs w:val="21"/>
        </w:rPr>
        <w:t>1</w:t>
      </w:r>
      <w:r>
        <w:rPr>
          <w:rFonts w:hint="eastAsia"/>
          <w:bCs/>
          <w:szCs w:val="21"/>
        </w:rPr>
        <w:t>3</w:t>
      </w:r>
      <w:r>
        <w:rPr>
          <w:rFonts w:hint="eastAsia"/>
          <w:bCs/>
          <w:szCs w:val="21"/>
        </w:rPr>
        <w:fldChar w:fldCharType="end"/>
      </w:r>
    </w:p>
    <w:p w14:paraId="7533FF03">
      <w:pPr>
        <w:tabs>
          <w:tab w:val="right" w:leader="dot" w:pos="8296"/>
        </w:tabs>
        <w:ind w:left="420" w:leftChars="200"/>
        <w:rPr>
          <w:szCs w:val="21"/>
        </w:rPr>
      </w:pPr>
      <w:r>
        <w:fldChar w:fldCharType="begin"/>
      </w:r>
      <w:r>
        <w:instrText xml:space="preserve"> HYPERLINK \l "_Toc261958086" </w:instrText>
      </w:r>
      <w:r>
        <w:fldChar w:fldCharType="separate"/>
      </w:r>
      <w:r>
        <w:rPr>
          <w:bCs/>
        </w:rPr>
        <w:t>6.</w:t>
      </w:r>
      <w:r>
        <w:rPr>
          <w:rFonts w:hint="eastAsia"/>
          <w:bCs/>
        </w:rPr>
        <w:t>1</w:t>
      </w:r>
      <w:r>
        <w:rPr>
          <w:bCs/>
        </w:rPr>
        <w:t xml:space="preserve"> General </w:t>
      </w:r>
      <w:r>
        <w:rPr>
          <w:rFonts w:hint="eastAsia"/>
          <w:bCs/>
        </w:rPr>
        <w:t>R</w:t>
      </w:r>
      <w:r>
        <w:rPr>
          <w:bCs/>
        </w:rPr>
        <w:t>equirements</w:t>
      </w:r>
      <w:r>
        <w:rPr>
          <w:szCs w:val="21"/>
        </w:rPr>
        <w:tab/>
      </w:r>
      <w:r>
        <w:rPr>
          <w:szCs w:val="21"/>
        </w:rPr>
        <w:t>1</w:t>
      </w:r>
      <w:r>
        <w:rPr>
          <w:rFonts w:hint="eastAsia"/>
          <w:szCs w:val="21"/>
        </w:rPr>
        <w:t>3</w:t>
      </w:r>
      <w:r>
        <w:rPr>
          <w:rFonts w:hint="eastAsia"/>
          <w:szCs w:val="21"/>
        </w:rPr>
        <w:fldChar w:fldCharType="end"/>
      </w:r>
    </w:p>
    <w:p w14:paraId="7533FF04">
      <w:pPr>
        <w:tabs>
          <w:tab w:val="right" w:leader="dot" w:pos="8296"/>
        </w:tabs>
        <w:ind w:left="420" w:leftChars="200"/>
        <w:rPr>
          <w:szCs w:val="21"/>
        </w:rPr>
      </w:pPr>
      <w:r>
        <w:fldChar w:fldCharType="begin"/>
      </w:r>
      <w:r>
        <w:instrText xml:space="preserve"> HYPERLINK \l "_Toc261958086" </w:instrText>
      </w:r>
      <w:r>
        <w:fldChar w:fldCharType="separate"/>
      </w:r>
      <w:r>
        <w:rPr>
          <w:bCs/>
        </w:rPr>
        <w:t xml:space="preserve">6.2 Approach of </w:t>
      </w:r>
      <w:r>
        <w:rPr>
          <w:rFonts w:hint="eastAsia"/>
          <w:bCs/>
        </w:rPr>
        <w:t>R</w:t>
      </w:r>
      <w:r>
        <w:rPr>
          <w:bCs/>
        </w:rPr>
        <w:t xml:space="preserve">aw </w:t>
      </w:r>
      <w:r>
        <w:rPr>
          <w:rFonts w:hint="eastAsia"/>
          <w:bCs/>
        </w:rPr>
        <w:t>M</w:t>
      </w:r>
      <w:r>
        <w:rPr>
          <w:bCs/>
        </w:rPr>
        <w:t>aterials</w:t>
      </w:r>
      <w:r>
        <w:rPr>
          <w:szCs w:val="21"/>
        </w:rPr>
        <w:tab/>
      </w:r>
      <w:r>
        <w:rPr>
          <w:szCs w:val="21"/>
        </w:rPr>
        <w:t>1</w:t>
      </w:r>
      <w:r>
        <w:rPr>
          <w:rFonts w:hint="eastAsia"/>
          <w:szCs w:val="21"/>
        </w:rPr>
        <w:t>3</w:t>
      </w:r>
      <w:r>
        <w:rPr>
          <w:rFonts w:hint="eastAsia"/>
          <w:szCs w:val="21"/>
        </w:rPr>
        <w:fldChar w:fldCharType="end"/>
      </w:r>
    </w:p>
    <w:p w14:paraId="7533FF05">
      <w:pPr>
        <w:tabs>
          <w:tab w:val="right" w:leader="dot" w:pos="8296"/>
        </w:tabs>
        <w:ind w:left="420" w:leftChars="200"/>
        <w:rPr>
          <w:szCs w:val="21"/>
        </w:rPr>
      </w:pPr>
      <w:r>
        <w:fldChar w:fldCharType="begin"/>
      </w:r>
      <w:r>
        <w:instrText xml:space="preserve"> HYPERLINK \l "_Toc261958087" </w:instrText>
      </w:r>
      <w:r>
        <w:fldChar w:fldCharType="separate"/>
      </w:r>
      <w:r>
        <w:rPr>
          <w:bCs/>
        </w:rPr>
        <w:t>6.3 Metering</w:t>
      </w:r>
      <w:r>
        <w:rPr>
          <w:szCs w:val="21"/>
        </w:rPr>
        <w:tab/>
      </w:r>
      <w:r>
        <w:rPr>
          <w:szCs w:val="21"/>
        </w:rPr>
        <w:t>1</w:t>
      </w:r>
      <w:r>
        <w:rPr>
          <w:rFonts w:hint="eastAsia"/>
          <w:szCs w:val="21"/>
        </w:rPr>
        <w:t>3</w:t>
      </w:r>
      <w:r>
        <w:rPr>
          <w:rFonts w:hint="eastAsia"/>
          <w:szCs w:val="21"/>
        </w:rPr>
        <w:fldChar w:fldCharType="end"/>
      </w:r>
    </w:p>
    <w:p w14:paraId="7533FF06">
      <w:pPr>
        <w:tabs>
          <w:tab w:val="right" w:leader="dot" w:pos="8296"/>
        </w:tabs>
        <w:ind w:left="420" w:leftChars="200"/>
        <w:rPr>
          <w:szCs w:val="21"/>
        </w:rPr>
      </w:pPr>
      <w:r>
        <w:fldChar w:fldCharType="begin"/>
      </w:r>
      <w:r>
        <w:instrText xml:space="preserve"> HYPERLINK \l "_Toc261958088" </w:instrText>
      </w:r>
      <w:r>
        <w:fldChar w:fldCharType="separate"/>
      </w:r>
      <w:r>
        <w:rPr>
          <w:bCs/>
        </w:rPr>
        <w:t>6.4 Mixing</w:t>
      </w:r>
      <w:r>
        <w:rPr>
          <w:szCs w:val="21"/>
        </w:rPr>
        <w:tab/>
      </w:r>
      <w:r>
        <w:rPr>
          <w:szCs w:val="21"/>
        </w:rPr>
        <w:t>1</w:t>
      </w:r>
      <w:r>
        <w:rPr>
          <w:rFonts w:hint="eastAsia"/>
          <w:szCs w:val="21"/>
        </w:rPr>
        <w:t>4</w:t>
      </w:r>
      <w:r>
        <w:rPr>
          <w:rFonts w:hint="eastAsia"/>
          <w:szCs w:val="21"/>
        </w:rPr>
        <w:fldChar w:fldCharType="end"/>
      </w:r>
    </w:p>
    <w:p w14:paraId="7533FF07">
      <w:pPr>
        <w:tabs>
          <w:tab w:val="right" w:leader="dot" w:pos="8296"/>
        </w:tabs>
        <w:ind w:left="420" w:leftChars="200"/>
        <w:rPr>
          <w:szCs w:val="21"/>
        </w:rPr>
      </w:pPr>
      <w:r>
        <w:fldChar w:fldCharType="begin"/>
      </w:r>
      <w:r>
        <w:instrText xml:space="preserve"> HYPERLINK \l "_Toc261958089" </w:instrText>
      </w:r>
      <w:r>
        <w:fldChar w:fldCharType="separate"/>
      </w:r>
      <w:r>
        <w:rPr>
          <w:bCs/>
        </w:rPr>
        <w:t>6.5 Transportation</w:t>
      </w:r>
      <w:r>
        <w:rPr>
          <w:szCs w:val="21"/>
        </w:rPr>
        <w:tab/>
      </w:r>
      <w:r>
        <w:rPr>
          <w:szCs w:val="21"/>
        </w:rPr>
        <w:t>1</w:t>
      </w:r>
      <w:r>
        <w:rPr>
          <w:rFonts w:hint="eastAsia"/>
          <w:szCs w:val="21"/>
        </w:rPr>
        <w:t>4</w:t>
      </w:r>
      <w:r>
        <w:rPr>
          <w:rFonts w:hint="eastAsia"/>
          <w:szCs w:val="21"/>
        </w:rPr>
        <w:fldChar w:fldCharType="end"/>
      </w:r>
    </w:p>
    <w:p w14:paraId="7533FF08">
      <w:pPr>
        <w:tabs>
          <w:tab w:val="right" w:leader="dot" w:pos="8296"/>
        </w:tabs>
        <w:ind w:left="420" w:leftChars="200"/>
        <w:rPr>
          <w:szCs w:val="21"/>
        </w:rPr>
      </w:pPr>
      <w:r>
        <w:fldChar w:fldCharType="begin"/>
      </w:r>
      <w:r>
        <w:instrText xml:space="preserve"> HYPERLINK \l "_Toc261958090" </w:instrText>
      </w:r>
      <w:r>
        <w:fldChar w:fldCharType="separate"/>
      </w:r>
      <w:r>
        <w:rPr>
          <w:bCs/>
        </w:rPr>
        <w:t>6.6 Casting</w:t>
      </w:r>
      <w:r>
        <w:rPr>
          <w:szCs w:val="21"/>
        </w:rPr>
        <w:tab/>
      </w:r>
      <w:r>
        <w:rPr>
          <w:szCs w:val="21"/>
        </w:rPr>
        <w:t>1</w:t>
      </w:r>
      <w:r>
        <w:rPr>
          <w:rFonts w:hint="eastAsia"/>
          <w:szCs w:val="21"/>
        </w:rPr>
        <w:t>5</w:t>
      </w:r>
      <w:r>
        <w:rPr>
          <w:rFonts w:hint="eastAsia"/>
          <w:szCs w:val="21"/>
        </w:rPr>
        <w:fldChar w:fldCharType="end"/>
      </w:r>
    </w:p>
    <w:p w14:paraId="7533FF09">
      <w:pPr>
        <w:tabs>
          <w:tab w:val="right" w:leader="dot" w:pos="8296"/>
        </w:tabs>
        <w:ind w:left="420" w:leftChars="200"/>
        <w:rPr>
          <w:szCs w:val="21"/>
        </w:rPr>
      </w:pPr>
      <w:r>
        <w:fldChar w:fldCharType="begin"/>
      </w:r>
      <w:r>
        <w:instrText xml:space="preserve"> HYPERLINK \l "_Toc261958091" </w:instrText>
      </w:r>
      <w:r>
        <w:fldChar w:fldCharType="separate"/>
      </w:r>
      <w:r>
        <w:rPr>
          <w:bCs/>
        </w:rPr>
        <w:t>6.7 Curing</w:t>
      </w:r>
      <w:r>
        <w:rPr>
          <w:szCs w:val="21"/>
        </w:rPr>
        <w:tab/>
      </w:r>
      <w:r>
        <w:rPr>
          <w:szCs w:val="21"/>
        </w:rPr>
        <w:t>16</w:t>
      </w:r>
      <w:r>
        <w:rPr>
          <w:szCs w:val="21"/>
        </w:rPr>
        <w:fldChar w:fldCharType="end"/>
      </w:r>
    </w:p>
    <w:p w14:paraId="7533FF0A">
      <w:pPr>
        <w:tabs>
          <w:tab w:val="right" w:leader="dot" w:pos="8296"/>
        </w:tabs>
        <w:snapToGrid w:val="0"/>
        <w:jc w:val="center"/>
        <w:rPr>
          <w:szCs w:val="21"/>
        </w:rPr>
      </w:pPr>
      <w:r>
        <w:fldChar w:fldCharType="begin"/>
      </w:r>
      <w:r>
        <w:instrText xml:space="preserve"> HYPERLINK \l "_Toc261958092" </w:instrText>
      </w:r>
      <w:r>
        <w:fldChar w:fldCharType="separate"/>
      </w:r>
      <w:r>
        <w:rPr>
          <w:bCs/>
        </w:rPr>
        <w:t xml:space="preserve">7  Quality </w:t>
      </w:r>
      <w:r>
        <w:rPr>
          <w:rFonts w:hint="eastAsia"/>
          <w:bCs/>
        </w:rPr>
        <w:t>i</w:t>
      </w:r>
      <w:r>
        <w:rPr>
          <w:bCs/>
        </w:rPr>
        <w:t>nspection</w:t>
      </w:r>
      <w:r>
        <w:rPr>
          <w:bCs/>
          <w:szCs w:val="21"/>
        </w:rPr>
        <w:tab/>
      </w:r>
      <w:r>
        <w:rPr>
          <w:bCs/>
          <w:szCs w:val="21"/>
        </w:rPr>
        <w:t>1</w:t>
      </w:r>
      <w:r>
        <w:rPr>
          <w:rFonts w:hint="eastAsia"/>
          <w:bCs/>
          <w:szCs w:val="21"/>
        </w:rPr>
        <w:t>8</w:t>
      </w:r>
      <w:r>
        <w:rPr>
          <w:rFonts w:hint="eastAsia"/>
          <w:bCs/>
          <w:szCs w:val="21"/>
        </w:rPr>
        <w:fldChar w:fldCharType="end"/>
      </w:r>
    </w:p>
    <w:p w14:paraId="7533FF0B">
      <w:pPr>
        <w:tabs>
          <w:tab w:val="right" w:leader="dot" w:pos="8296"/>
        </w:tabs>
        <w:ind w:left="420" w:leftChars="200"/>
        <w:rPr>
          <w:szCs w:val="21"/>
        </w:rPr>
      </w:pPr>
      <w:r>
        <w:fldChar w:fldCharType="begin"/>
      </w:r>
      <w:r>
        <w:instrText xml:space="preserve"> HYPERLINK \l "_Toc261958093" </w:instrText>
      </w:r>
      <w:r>
        <w:fldChar w:fldCharType="separate"/>
      </w:r>
      <w:r>
        <w:rPr>
          <w:bCs/>
        </w:rPr>
        <w:t xml:space="preserve">7.1 Quality </w:t>
      </w:r>
      <w:r>
        <w:rPr>
          <w:rFonts w:hint="eastAsia"/>
          <w:bCs/>
        </w:rPr>
        <w:t>I</w:t>
      </w:r>
      <w:r>
        <w:rPr>
          <w:bCs/>
        </w:rPr>
        <w:t xml:space="preserve">nspection of </w:t>
      </w:r>
      <w:r>
        <w:rPr>
          <w:rFonts w:hint="eastAsia"/>
          <w:bCs/>
        </w:rPr>
        <w:t>R</w:t>
      </w:r>
      <w:r>
        <w:rPr>
          <w:bCs/>
        </w:rPr>
        <w:t xml:space="preserve">aw </w:t>
      </w:r>
      <w:r>
        <w:rPr>
          <w:rFonts w:hint="eastAsia"/>
          <w:bCs/>
        </w:rPr>
        <w:t>M</w:t>
      </w:r>
      <w:r>
        <w:rPr>
          <w:bCs/>
        </w:rPr>
        <w:t>aterials</w:t>
      </w:r>
      <w:r>
        <w:rPr>
          <w:szCs w:val="21"/>
        </w:rPr>
        <w:tab/>
      </w:r>
      <w:r>
        <w:rPr>
          <w:szCs w:val="21"/>
        </w:rPr>
        <w:t>1</w:t>
      </w:r>
      <w:r>
        <w:rPr>
          <w:rFonts w:hint="eastAsia"/>
          <w:szCs w:val="21"/>
        </w:rPr>
        <w:t>8</w:t>
      </w:r>
      <w:r>
        <w:rPr>
          <w:rFonts w:hint="eastAsia"/>
          <w:szCs w:val="21"/>
        </w:rPr>
        <w:fldChar w:fldCharType="end"/>
      </w:r>
    </w:p>
    <w:p w14:paraId="7533FF0C">
      <w:pPr>
        <w:tabs>
          <w:tab w:val="right" w:leader="dot" w:pos="8296"/>
        </w:tabs>
        <w:ind w:left="420" w:leftChars="200"/>
        <w:rPr>
          <w:szCs w:val="21"/>
        </w:rPr>
      </w:pPr>
      <w:r>
        <w:fldChar w:fldCharType="begin"/>
      </w:r>
      <w:r>
        <w:instrText xml:space="preserve"> HYPERLINK \l "_Toc261958094" </w:instrText>
      </w:r>
      <w:r>
        <w:fldChar w:fldCharType="separate"/>
      </w:r>
      <w:r>
        <w:rPr>
          <w:bCs/>
        </w:rPr>
        <w:t xml:space="preserve">7.2 Performance </w:t>
      </w:r>
      <w:r>
        <w:rPr>
          <w:rFonts w:hint="eastAsia"/>
          <w:bCs/>
        </w:rPr>
        <w:t>I</w:t>
      </w:r>
      <w:r>
        <w:rPr>
          <w:bCs/>
        </w:rPr>
        <w:t xml:space="preserve">nspection of </w:t>
      </w:r>
      <w:r>
        <w:rPr>
          <w:rFonts w:hint="eastAsia"/>
          <w:bCs/>
        </w:rPr>
        <w:t>C</w:t>
      </w:r>
      <w:r>
        <w:rPr>
          <w:bCs/>
        </w:rPr>
        <w:t xml:space="preserve">oncrete </w:t>
      </w:r>
      <w:r>
        <w:rPr>
          <w:rFonts w:hint="eastAsia"/>
          <w:bCs/>
        </w:rPr>
        <w:t>M</w:t>
      </w:r>
      <w:r>
        <w:rPr>
          <w:bCs/>
        </w:rPr>
        <w:t>ixture</w:t>
      </w:r>
      <w:r>
        <w:rPr>
          <w:szCs w:val="21"/>
        </w:rPr>
        <w:tab/>
      </w:r>
      <w:r>
        <w:rPr>
          <w:rFonts w:hint="eastAsia"/>
          <w:szCs w:val="21"/>
        </w:rPr>
        <w:t>20</w:t>
      </w:r>
      <w:r>
        <w:rPr>
          <w:rFonts w:hint="eastAsia"/>
          <w:szCs w:val="21"/>
        </w:rPr>
        <w:fldChar w:fldCharType="end"/>
      </w:r>
    </w:p>
    <w:p w14:paraId="7533FF0D">
      <w:pPr>
        <w:tabs>
          <w:tab w:val="right" w:leader="dot" w:pos="8296"/>
        </w:tabs>
        <w:ind w:left="420" w:leftChars="200"/>
        <w:rPr>
          <w:szCs w:val="21"/>
        </w:rPr>
      </w:pPr>
      <w:r>
        <w:fldChar w:fldCharType="begin"/>
      </w:r>
      <w:r>
        <w:instrText xml:space="preserve"> HYPERLINK \l "_Toc261958095" </w:instrText>
      </w:r>
      <w:r>
        <w:fldChar w:fldCharType="separate"/>
      </w:r>
      <w:r>
        <w:rPr>
          <w:bCs/>
        </w:rPr>
        <w:t xml:space="preserve">7.3 Performance </w:t>
      </w:r>
      <w:r>
        <w:rPr>
          <w:rFonts w:hint="eastAsia"/>
          <w:bCs/>
        </w:rPr>
        <w:t>I</w:t>
      </w:r>
      <w:r>
        <w:rPr>
          <w:bCs/>
        </w:rPr>
        <w:t xml:space="preserve">nspection of </w:t>
      </w:r>
      <w:r>
        <w:rPr>
          <w:rFonts w:hint="eastAsia"/>
          <w:bCs/>
        </w:rPr>
        <w:t>H</w:t>
      </w:r>
      <w:r>
        <w:rPr>
          <w:bCs/>
        </w:rPr>
        <w:t xml:space="preserve">ardened </w:t>
      </w:r>
      <w:r>
        <w:rPr>
          <w:rFonts w:hint="eastAsia"/>
          <w:bCs/>
        </w:rPr>
        <w:t>C</w:t>
      </w:r>
      <w:r>
        <w:rPr>
          <w:bCs/>
        </w:rPr>
        <w:t>oncrete</w:t>
      </w:r>
      <w:r>
        <w:rPr>
          <w:szCs w:val="21"/>
        </w:rPr>
        <w:tab/>
      </w:r>
      <w:r>
        <w:rPr>
          <w:rFonts w:hint="eastAsia"/>
          <w:szCs w:val="21"/>
        </w:rPr>
        <w:t>20</w:t>
      </w:r>
      <w:r>
        <w:rPr>
          <w:rFonts w:hint="eastAsia"/>
          <w:szCs w:val="21"/>
        </w:rPr>
        <w:fldChar w:fldCharType="end"/>
      </w:r>
    </w:p>
    <w:p w14:paraId="7533FF0E">
      <w:pPr>
        <w:tabs>
          <w:tab w:val="right" w:leader="dot" w:pos="8296"/>
        </w:tabs>
        <w:ind w:left="420" w:leftChars="200"/>
        <w:rPr>
          <w:szCs w:val="21"/>
        </w:rPr>
      </w:pPr>
      <w:r>
        <w:fldChar w:fldCharType="begin"/>
      </w:r>
      <w:r>
        <w:instrText xml:space="preserve"> HYPERLINK \l "_Toc261958095" </w:instrText>
      </w:r>
      <w:r>
        <w:fldChar w:fldCharType="separate"/>
      </w:r>
      <w:r>
        <w:rPr>
          <w:bCs/>
        </w:rPr>
        <w:t>7.</w:t>
      </w:r>
      <w:r>
        <w:rPr>
          <w:rFonts w:hint="eastAsia"/>
          <w:bCs/>
        </w:rPr>
        <w:t>4</w:t>
      </w:r>
      <w:r>
        <w:rPr>
          <w:bCs/>
        </w:rPr>
        <w:t xml:space="preserve"> </w:t>
      </w:r>
      <w:r>
        <w:rPr>
          <w:rFonts w:hint="eastAsia"/>
          <w:bCs/>
        </w:rPr>
        <w:t>Quality Acceptance</w:t>
      </w:r>
      <w:r>
        <w:rPr>
          <w:szCs w:val="21"/>
        </w:rPr>
        <w:tab/>
      </w:r>
      <w:r>
        <w:rPr>
          <w:rFonts w:hint="eastAsia"/>
          <w:szCs w:val="21"/>
        </w:rPr>
        <w:t>20</w:t>
      </w:r>
      <w:r>
        <w:rPr>
          <w:rFonts w:hint="eastAsia"/>
          <w:szCs w:val="21"/>
        </w:rPr>
        <w:fldChar w:fldCharType="end"/>
      </w:r>
    </w:p>
    <w:p w14:paraId="7533FF0F">
      <w:pPr>
        <w:tabs>
          <w:tab w:val="right" w:leader="dot" w:pos="8296"/>
        </w:tabs>
        <w:snapToGrid w:val="0"/>
        <w:jc w:val="center"/>
        <w:rPr>
          <w:szCs w:val="21"/>
        </w:rPr>
      </w:pPr>
      <w:r>
        <w:rPr>
          <w:bCs/>
          <w:caps/>
          <w:sz w:val="28"/>
          <w:szCs w:val="21"/>
        </w:rPr>
        <w:fldChar w:fldCharType="end"/>
      </w:r>
      <w:r>
        <w:fldChar w:fldCharType="begin"/>
      </w:r>
      <w:r>
        <w:instrText xml:space="preserve"> HYPERLINK \l "_Toc262027243" </w:instrText>
      </w:r>
      <w:r>
        <w:fldChar w:fldCharType="separate"/>
      </w:r>
      <w:r>
        <w:rPr>
          <w:bCs/>
        </w:rPr>
        <w:t xml:space="preserve">Explanation of </w:t>
      </w:r>
      <w:r>
        <w:rPr>
          <w:rFonts w:hint="eastAsia"/>
          <w:bCs/>
        </w:rPr>
        <w:t>W</w:t>
      </w:r>
      <w:r>
        <w:rPr>
          <w:bCs/>
        </w:rPr>
        <w:t xml:space="preserve">ording in </w:t>
      </w:r>
      <w:r>
        <w:rPr>
          <w:rFonts w:hint="eastAsia"/>
          <w:bCs/>
        </w:rPr>
        <w:t>T</w:t>
      </w:r>
      <w:r>
        <w:rPr>
          <w:bCs/>
        </w:rPr>
        <w:t xml:space="preserve">his </w:t>
      </w:r>
      <w:r>
        <w:rPr>
          <w:rFonts w:hint="eastAsia"/>
          <w:bCs/>
        </w:rPr>
        <w:t>C</w:t>
      </w:r>
      <w:r>
        <w:rPr>
          <w:bCs/>
        </w:rPr>
        <w:t>ode</w:t>
      </w:r>
      <w:r>
        <w:rPr>
          <w:bCs/>
          <w:szCs w:val="21"/>
        </w:rPr>
        <w:tab/>
      </w:r>
      <w:r>
        <w:rPr>
          <w:bCs/>
          <w:szCs w:val="21"/>
        </w:rPr>
        <w:t>2</w:t>
      </w:r>
      <w:r>
        <w:rPr>
          <w:rFonts w:hint="eastAsia"/>
          <w:bCs/>
          <w:szCs w:val="21"/>
        </w:rPr>
        <w:t>1</w:t>
      </w:r>
      <w:r>
        <w:rPr>
          <w:rFonts w:hint="eastAsia"/>
          <w:bCs/>
          <w:szCs w:val="21"/>
        </w:rPr>
        <w:fldChar w:fldCharType="end"/>
      </w:r>
    </w:p>
    <w:p w14:paraId="7533FF10">
      <w:pPr>
        <w:tabs>
          <w:tab w:val="right" w:leader="dot" w:pos="8296"/>
        </w:tabs>
        <w:snapToGrid w:val="0"/>
        <w:jc w:val="center"/>
        <w:rPr>
          <w:szCs w:val="21"/>
        </w:rPr>
      </w:pPr>
      <w:r>
        <w:rPr>
          <w:rFonts w:hint="eastAsia"/>
          <w:bCs/>
        </w:rPr>
        <w:t xml:space="preserve">List of Quoted </w:t>
      </w:r>
      <w:r>
        <w:fldChar w:fldCharType="begin"/>
      </w:r>
      <w:r>
        <w:instrText xml:space="preserve"> HYPERLINK \l "_Toc262027244" </w:instrText>
      </w:r>
      <w:r>
        <w:fldChar w:fldCharType="separate"/>
      </w:r>
      <w:r>
        <w:rPr>
          <w:rFonts w:hint="eastAsia"/>
          <w:bCs/>
        </w:rPr>
        <w:t>S</w:t>
      </w:r>
      <w:r>
        <w:rPr>
          <w:bCs/>
        </w:rPr>
        <w:t>tandards</w:t>
      </w:r>
      <w:r>
        <w:rPr>
          <w:bCs/>
          <w:szCs w:val="21"/>
        </w:rPr>
        <w:tab/>
      </w:r>
      <w:r>
        <w:rPr>
          <w:bCs/>
          <w:szCs w:val="21"/>
        </w:rPr>
        <w:t>2</w:t>
      </w:r>
      <w:r>
        <w:rPr>
          <w:rFonts w:hint="eastAsia"/>
          <w:bCs/>
          <w:szCs w:val="21"/>
        </w:rPr>
        <w:t>2</w:t>
      </w:r>
      <w:r>
        <w:rPr>
          <w:rFonts w:hint="eastAsia"/>
          <w:bCs/>
          <w:szCs w:val="21"/>
        </w:rPr>
        <w:fldChar w:fldCharType="end"/>
      </w:r>
    </w:p>
    <w:p w14:paraId="7533FF12">
      <w:pPr>
        <w:topLinePunct/>
        <w:adjustRightInd w:val="0"/>
        <w:snapToGrid w:val="0"/>
        <w:spacing w:line="360" w:lineRule="auto"/>
        <w:jc w:val="center"/>
        <w:rPr>
          <w:sz w:val="28"/>
          <w:szCs w:val="28"/>
        </w:rPr>
      </w:pPr>
    </w:p>
    <w:p w14:paraId="7533FF13">
      <w:pPr>
        <w:topLinePunct/>
        <w:adjustRightInd w:val="0"/>
        <w:snapToGrid w:val="0"/>
        <w:spacing w:line="360" w:lineRule="auto"/>
        <w:jc w:val="center"/>
        <w:rPr>
          <w:sz w:val="28"/>
          <w:szCs w:val="28"/>
        </w:rPr>
        <w:sectPr>
          <w:pgSz w:w="11906" w:h="16838"/>
          <w:pgMar w:top="1440" w:right="1800" w:bottom="1440" w:left="1800" w:header="851" w:footer="992" w:gutter="0"/>
          <w:pgNumType w:fmt="upperRoman"/>
          <w:cols w:space="425" w:num="1"/>
          <w:docGrid w:type="lines" w:linePitch="312" w:charSpace="0"/>
        </w:sectPr>
      </w:pPr>
    </w:p>
    <w:p w14:paraId="7533FF14">
      <w:pPr>
        <w:pStyle w:val="38"/>
        <w:spacing w:before="312" w:after="312"/>
        <w:rPr>
          <w:b w:val="0"/>
        </w:rPr>
      </w:pPr>
      <w:bookmarkStart w:id="0" w:name="_Toc268678419"/>
      <w:bookmarkStart w:id="1" w:name="_Toc268120151"/>
      <w:bookmarkStart w:id="2" w:name="_Toc268120025"/>
      <w:bookmarkStart w:id="3" w:name="_Toc257581507"/>
      <w:bookmarkStart w:id="4" w:name="_Toc201943547"/>
      <w:bookmarkStart w:id="5" w:name="_Toc248138230"/>
      <w:bookmarkStart w:id="6" w:name="_Toc275249801"/>
      <w:bookmarkStart w:id="7" w:name="_Toc269885283"/>
      <w:bookmarkStart w:id="8" w:name="_Toc257581179"/>
      <w:bookmarkStart w:id="9" w:name="_Toc248108598"/>
      <w:bookmarkStart w:id="10" w:name="_Toc198464408"/>
      <w:bookmarkStart w:id="11" w:name="_Toc197919612"/>
      <w:bookmarkStart w:id="12" w:name="_Toc198528341"/>
      <w:bookmarkStart w:id="13" w:name="_Toc146546844"/>
      <w:bookmarkStart w:id="14" w:name="_Toc245109870"/>
      <w:bookmarkStart w:id="15" w:name="_Toc146727194"/>
      <w:bookmarkStart w:id="16" w:name="_Toc200521211"/>
      <w:r>
        <w:rPr>
          <w:b w:val="0"/>
        </w:rPr>
        <w:t xml:space="preserve">1  </w:t>
      </w:r>
      <w:r>
        <w:rPr>
          <w:rFonts w:hAnsi="宋体"/>
          <w:b w:val="0"/>
        </w:rPr>
        <w:t>总则</w:t>
      </w:r>
      <w:bookmarkEnd w:id="0"/>
      <w:bookmarkEnd w:id="1"/>
      <w:bookmarkEnd w:id="2"/>
      <w:bookmarkEnd w:id="3"/>
      <w:bookmarkEnd w:id="4"/>
      <w:bookmarkEnd w:id="5"/>
      <w:bookmarkEnd w:id="6"/>
      <w:bookmarkEnd w:id="7"/>
      <w:bookmarkEnd w:id="8"/>
      <w:bookmarkEnd w:id="9"/>
    </w:p>
    <w:bookmarkEnd w:id="10"/>
    <w:bookmarkEnd w:id="11"/>
    <w:bookmarkEnd w:id="12"/>
    <w:bookmarkEnd w:id="13"/>
    <w:bookmarkEnd w:id="14"/>
    <w:bookmarkEnd w:id="15"/>
    <w:bookmarkEnd w:id="16"/>
    <w:p w14:paraId="7533FF15">
      <w:pPr>
        <w:spacing w:line="300" w:lineRule="auto"/>
        <w:rPr>
          <w:szCs w:val="21"/>
        </w:rPr>
      </w:pPr>
      <w:r>
        <w:rPr>
          <w:b/>
          <w:szCs w:val="21"/>
        </w:rPr>
        <w:t>1.0.1</w:t>
      </w:r>
      <w:r>
        <w:rPr>
          <w:szCs w:val="21"/>
        </w:rPr>
        <w:t xml:space="preserve">  </w:t>
      </w:r>
      <w:r>
        <w:rPr>
          <w:rFonts w:hAnsi="宋体"/>
          <w:szCs w:val="21"/>
        </w:rPr>
        <w:t>为加强混凝土质量控制，促进混凝土技术进步，确保混凝土工程质量，</w:t>
      </w:r>
      <w:r>
        <w:rPr>
          <w:rFonts w:hint="eastAsia" w:hAnsi="宋体"/>
          <w:szCs w:val="21"/>
        </w:rPr>
        <w:t>制定</w:t>
      </w:r>
      <w:r>
        <w:rPr>
          <w:rFonts w:hAnsi="宋体"/>
          <w:szCs w:val="21"/>
        </w:rPr>
        <w:t>本标准。</w:t>
      </w:r>
    </w:p>
    <w:p w14:paraId="7533FF16">
      <w:pPr>
        <w:spacing w:line="300" w:lineRule="auto"/>
        <w:rPr>
          <w:rFonts w:hint="eastAsia" w:hAnsi="宋体"/>
          <w:szCs w:val="21"/>
        </w:rPr>
      </w:pPr>
      <w:r>
        <w:rPr>
          <w:b/>
          <w:szCs w:val="21"/>
        </w:rPr>
        <w:t>1.0.2</w:t>
      </w:r>
      <w:r>
        <w:rPr>
          <w:szCs w:val="21"/>
        </w:rPr>
        <w:t xml:space="preserve">  </w:t>
      </w:r>
      <w:r>
        <w:rPr>
          <w:rFonts w:hAnsi="宋体"/>
          <w:szCs w:val="21"/>
        </w:rPr>
        <w:t>本标准适用于建设工程的混凝土质量控制。</w:t>
      </w:r>
    </w:p>
    <w:p w14:paraId="7533FF17">
      <w:pPr>
        <w:spacing w:line="300" w:lineRule="auto"/>
        <w:rPr>
          <w:rFonts w:hint="eastAsia" w:hAnsi="宋体"/>
          <w:szCs w:val="21"/>
        </w:rPr>
      </w:pPr>
      <w:r>
        <w:rPr>
          <w:b/>
          <w:szCs w:val="21"/>
        </w:rPr>
        <w:t xml:space="preserve">1.0.3 </w:t>
      </w:r>
      <w:r>
        <w:rPr>
          <w:szCs w:val="21"/>
        </w:rPr>
        <w:t xml:space="preserve"> </w:t>
      </w:r>
      <w:r>
        <w:rPr>
          <w:rFonts w:hint="eastAsia"/>
          <w:szCs w:val="21"/>
        </w:rPr>
        <w:t>混凝土质量控制除应符合本标准的规定外，尚应符合国家现行有关标准的规定。</w:t>
      </w:r>
    </w:p>
    <w:p w14:paraId="7533FF18">
      <w:pPr>
        <w:spacing w:before="156" w:beforeLines="50"/>
        <w:rPr>
          <w:rFonts w:hint="eastAsia" w:hAnsi="宋体"/>
          <w:szCs w:val="21"/>
        </w:rPr>
      </w:pPr>
    </w:p>
    <w:p w14:paraId="7533FF19">
      <w:pPr>
        <w:spacing w:before="156" w:beforeLines="50"/>
        <w:rPr>
          <w:szCs w:val="21"/>
        </w:rPr>
        <w:sectPr>
          <w:footerReference r:id="rId8" w:type="default"/>
          <w:pgSz w:w="11906" w:h="16838"/>
          <w:pgMar w:top="1440" w:right="1800" w:bottom="1440" w:left="1800" w:header="851" w:footer="992" w:gutter="0"/>
          <w:pgNumType w:fmt="decimal" w:start="1"/>
          <w:cols w:space="425" w:num="1"/>
          <w:docGrid w:type="lines" w:linePitch="312" w:charSpace="0"/>
        </w:sectPr>
      </w:pPr>
    </w:p>
    <w:p w14:paraId="7533FF1A">
      <w:pPr>
        <w:pStyle w:val="38"/>
        <w:spacing w:before="312" w:after="312"/>
        <w:rPr>
          <w:rFonts w:hint="eastAsia" w:hAnsi="宋体"/>
          <w:b w:val="0"/>
        </w:rPr>
      </w:pPr>
      <w:bookmarkStart w:id="17" w:name="_Toc268120026"/>
      <w:bookmarkStart w:id="18" w:name="_Toc275249802"/>
      <w:bookmarkStart w:id="19" w:name="_Toc268678420"/>
      <w:bookmarkStart w:id="20" w:name="_Toc268120152"/>
      <w:bookmarkStart w:id="21" w:name="_Toc201943548"/>
      <w:bookmarkStart w:id="22" w:name="_Toc269885284"/>
      <w:r>
        <w:rPr>
          <w:b w:val="0"/>
        </w:rPr>
        <w:t xml:space="preserve">2  </w:t>
      </w:r>
      <w:r>
        <w:rPr>
          <w:rFonts w:hAnsi="宋体"/>
          <w:b w:val="0"/>
        </w:rPr>
        <w:t>原材料质量控制</w:t>
      </w:r>
      <w:bookmarkEnd w:id="17"/>
      <w:bookmarkEnd w:id="18"/>
      <w:bookmarkEnd w:id="19"/>
      <w:bookmarkEnd w:id="20"/>
      <w:bookmarkEnd w:id="21"/>
      <w:bookmarkEnd w:id="22"/>
    </w:p>
    <w:p w14:paraId="7533FF1B">
      <w:pPr>
        <w:spacing w:before="312" w:beforeLines="100" w:after="312" w:afterLines="100" w:line="300" w:lineRule="auto"/>
        <w:jc w:val="center"/>
        <w:outlineLvl w:val="1"/>
        <w:rPr>
          <w:bCs/>
          <w:sz w:val="24"/>
        </w:rPr>
      </w:pPr>
      <w:bookmarkStart w:id="23" w:name="_Toc201943549"/>
      <w:bookmarkStart w:id="24" w:name="_Toc268120153"/>
      <w:bookmarkStart w:id="25" w:name="_Toc268120027"/>
      <w:bookmarkStart w:id="26" w:name="_Toc275249803"/>
      <w:bookmarkStart w:id="27" w:name="_Toc269885285"/>
      <w:bookmarkStart w:id="28" w:name="_Toc268678421"/>
      <w:r>
        <w:rPr>
          <w:bCs/>
          <w:sz w:val="24"/>
        </w:rPr>
        <w:t xml:space="preserve">2.1 </w:t>
      </w:r>
      <w:r>
        <w:rPr>
          <w:rFonts w:hint="eastAsia"/>
          <w:bCs/>
          <w:sz w:val="24"/>
        </w:rPr>
        <w:t xml:space="preserve"> </w:t>
      </w:r>
      <w:r>
        <w:rPr>
          <w:rFonts w:hAnsi="宋体"/>
          <w:bCs/>
          <w:sz w:val="24"/>
        </w:rPr>
        <w:t>水泥</w:t>
      </w:r>
      <w:bookmarkEnd w:id="23"/>
      <w:bookmarkEnd w:id="24"/>
      <w:bookmarkEnd w:id="25"/>
      <w:bookmarkEnd w:id="26"/>
      <w:bookmarkEnd w:id="27"/>
      <w:bookmarkEnd w:id="28"/>
    </w:p>
    <w:p w14:paraId="7533FF1C">
      <w:pPr>
        <w:spacing w:line="300" w:lineRule="auto"/>
        <w:rPr>
          <w:rFonts w:hint="eastAsia" w:hAnsi="宋体"/>
          <w:szCs w:val="21"/>
        </w:rPr>
      </w:pPr>
      <w:r>
        <w:rPr>
          <w:b/>
          <w:szCs w:val="21"/>
        </w:rPr>
        <w:t xml:space="preserve">2.1.1 </w:t>
      </w:r>
      <w:r>
        <w:rPr>
          <w:szCs w:val="21"/>
        </w:rPr>
        <w:t xml:space="preserve"> </w:t>
      </w:r>
      <w:r>
        <w:rPr>
          <w:rFonts w:hAnsi="宋体"/>
        </w:rPr>
        <w:t>水泥品种与强度等级</w:t>
      </w:r>
      <w:r>
        <w:rPr>
          <w:rFonts w:hint="eastAsia" w:hAnsi="宋体"/>
        </w:rPr>
        <w:t>的选用</w:t>
      </w:r>
      <w:r>
        <w:rPr>
          <w:rFonts w:hAnsi="宋体"/>
        </w:rPr>
        <w:t>应根据设计、施工要求以及工程所处环境确定。</w:t>
      </w:r>
      <w:r>
        <w:rPr>
          <w:rFonts w:hAnsi="宋体"/>
          <w:szCs w:val="21"/>
        </w:rPr>
        <w:t>对于一般建筑结构及预制构件的普通混凝土，宜采用通用硅酸盐水泥；高强混凝土和有抗冻要求的混凝土宜采用硅酸盐水泥或普通硅酸盐水泥；有预防混凝土碱</w:t>
      </w:r>
      <w:r>
        <w:rPr>
          <w:szCs w:val="21"/>
        </w:rPr>
        <w:t>-</w:t>
      </w:r>
      <w:r>
        <w:rPr>
          <w:rFonts w:hAnsi="宋体"/>
          <w:szCs w:val="21"/>
        </w:rPr>
        <w:t>骨料反应要求的混凝土工程宜采用碱含量低于</w:t>
      </w:r>
      <w:r>
        <w:rPr>
          <w:szCs w:val="21"/>
        </w:rPr>
        <w:t>0.6%</w:t>
      </w:r>
      <w:r>
        <w:rPr>
          <w:rFonts w:hAnsi="宋体"/>
          <w:szCs w:val="21"/>
        </w:rPr>
        <w:t>的水泥；大体积混凝土</w:t>
      </w:r>
      <w:r>
        <w:rPr>
          <w:rFonts w:hint="eastAsia" w:hAnsi="宋体"/>
          <w:szCs w:val="21"/>
        </w:rPr>
        <w:t>宜</w:t>
      </w:r>
      <w:r>
        <w:rPr>
          <w:rFonts w:hAnsi="宋体"/>
          <w:szCs w:val="21"/>
        </w:rPr>
        <w:t>采用中、低热硅酸盐水泥或低热矿渣硅酸盐水泥。水泥应符合现行国家标准《通用硅酸盐水泥》</w:t>
      </w:r>
      <w:r>
        <w:rPr>
          <w:szCs w:val="21"/>
        </w:rPr>
        <w:t>GB 175</w:t>
      </w:r>
      <w:r>
        <w:rPr>
          <w:rFonts w:hint="eastAsia" w:hAnsi="宋体"/>
          <w:szCs w:val="21"/>
        </w:rPr>
        <w:t>、</w:t>
      </w:r>
      <w:r>
        <w:rPr>
          <w:rFonts w:hAnsi="宋体"/>
          <w:szCs w:val="21"/>
        </w:rPr>
        <w:t>《中热硅酸盐水泥</w:t>
      </w:r>
      <w:r>
        <w:rPr>
          <w:rFonts w:hint="eastAsia"/>
          <w:szCs w:val="21"/>
        </w:rPr>
        <w:t>、</w:t>
      </w:r>
      <w:r>
        <w:rPr>
          <w:rFonts w:hAnsi="宋体"/>
          <w:szCs w:val="21"/>
        </w:rPr>
        <w:t>低热硅酸盐水泥》</w:t>
      </w:r>
      <w:r>
        <w:rPr>
          <w:szCs w:val="21"/>
        </w:rPr>
        <w:t>GB</w:t>
      </w:r>
      <w:r>
        <w:rPr>
          <w:rFonts w:hint="eastAsia"/>
          <w:szCs w:val="21"/>
        </w:rPr>
        <w:t>/T</w:t>
      </w:r>
      <w:r>
        <w:rPr>
          <w:szCs w:val="21"/>
        </w:rPr>
        <w:t xml:space="preserve"> 200</w:t>
      </w:r>
      <w:r>
        <w:rPr>
          <w:rFonts w:hint="eastAsia"/>
          <w:szCs w:val="21"/>
        </w:rPr>
        <w:t>、</w:t>
      </w:r>
      <w:r>
        <w:rPr>
          <w:rFonts w:hint="eastAsia" w:hAnsi="宋体"/>
          <w:szCs w:val="21"/>
        </w:rPr>
        <w:t>《低热矿渣硅酸盐水泥》GB/T 42531和《核电工程用硅酸盐水泥》GB/T 31545</w:t>
      </w:r>
      <w:r>
        <w:rPr>
          <w:rFonts w:hAnsi="宋体"/>
          <w:szCs w:val="21"/>
        </w:rPr>
        <w:t>的</w:t>
      </w:r>
      <w:r>
        <w:rPr>
          <w:rFonts w:hint="eastAsia" w:hAnsi="宋体"/>
          <w:szCs w:val="21"/>
        </w:rPr>
        <w:t>有关</w:t>
      </w:r>
      <w:r>
        <w:rPr>
          <w:rFonts w:hAnsi="宋体"/>
          <w:szCs w:val="21"/>
        </w:rPr>
        <w:t>规定。</w:t>
      </w:r>
    </w:p>
    <w:p w14:paraId="7533FF1D">
      <w:pPr>
        <w:spacing w:line="300" w:lineRule="auto"/>
        <w:rPr>
          <w:rFonts w:hint="eastAsia" w:hAnsi="宋体"/>
          <w:szCs w:val="21"/>
        </w:rPr>
      </w:pPr>
      <w:r>
        <w:rPr>
          <w:b/>
          <w:szCs w:val="21"/>
        </w:rPr>
        <w:t>2.1.2</w:t>
      </w:r>
      <w:r>
        <w:rPr>
          <w:szCs w:val="21"/>
        </w:rPr>
        <w:t xml:space="preserve">  </w:t>
      </w:r>
      <w:r>
        <w:rPr>
          <w:rFonts w:hAnsi="宋体"/>
          <w:szCs w:val="21"/>
        </w:rPr>
        <w:t>水泥质量</w:t>
      </w:r>
      <w:r>
        <w:rPr>
          <w:rFonts w:hint="eastAsia" w:hAnsi="宋体"/>
          <w:szCs w:val="21"/>
        </w:rPr>
        <w:t>主要</w:t>
      </w:r>
      <w:r>
        <w:rPr>
          <w:rFonts w:hAnsi="宋体"/>
          <w:szCs w:val="21"/>
        </w:rPr>
        <w:t>控制项目应包括</w:t>
      </w:r>
      <w:r>
        <w:rPr>
          <w:rFonts w:hint="eastAsia" w:hAnsi="宋体"/>
          <w:szCs w:val="21"/>
        </w:rPr>
        <w:t>细度、</w:t>
      </w:r>
      <w:r>
        <w:rPr>
          <w:rFonts w:hAnsi="宋体"/>
          <w:szCs w:val="21"/>
        </w:rPr>
        <w:t>凝结时间、安定性、胶砂强度</w:t>
      </w:r>
      <w:r>
        <w:rPr>
          <w:rFonts w:hint="eastAsia" w:hAnsi="宋体"/>
          <w:szCs w:val="21"/>
        </w:rPr>
        <w:t>、氧化镁和</w:t>
      </w:r>
      <w:r>
        <w:rPr>
          <w:rFonts w:hAnsi="宋体"/>
          <w:szCs w:val="21"/>
        </w:rPr>
        <w:t>氯离子含量</w:t>
      </w:r>
      <w:r>
        <w:rPr>
          <w:rFonts w:hint="eastAsia" w:hAnsi="宋体"/>
          <w:szCs w:val="21"/>
        </w:rPr>
        <w:t>。当有碱含量控制需求时，</w:t>
      </w:r>
      <w:r>
        <w:rPr>
          <w:rFonts w:hAnsi="宋体"/>
          <w:szCs w:val="21"/>
        </w:rPr>
        <w:t>主要控制项目还应包括碱含量，中、低热硅酸盐水泥</w:t>
      </w:r>
      <w:r>
        <w:rPr>
          <w:rFonts w:hint="eastAsia" w:hAnsi="宋体"/>
          <w:szCs w:val="21"/>
        </w:rPr>
        <w:t>、</w:t>
      </w:r>
      <w:r>
        <w:rPr>
          <w:rFonts w:hAnsi="宋体"/>
          <w:szCs w:val="21"/>
        </w:rPr>
        <w:t>低热矿渣硅酸盐水泥</w:t>
      </w:r>
      <w:r>
        <w:rPr>
          <w:rFonts w:hint="eastAsia" w:hAnsi="宋体"/>
          <w:szCs w:val="21"/>
        </w:rPr>
        <w:t>或核电工程用硅酸盐水泥</w:t>
      </w:r>
      <w:r>
        <w:rPr>
          <w:rFonts w:hAnsi="宋体"/>
          <w:szCs w:val="21"/>
        </w:rPr>
        <w:t>主要控制项目还应包括水化热。</w:t>
      </w:r>
    </w:p>
    <w:p w14:paraId="7533FF1E">
      <w:pPr>
        <w:spacing w:line="300" w:lineRule="auto"/>
        <w:rPr>
          <w:szCs w:val="21"/>
        </w:rPr>
      </w:pPr>
      <w:r>
        <w:rPr>
          <w:b/>
          <w:szCs w:val="21"/>
        </w:rPr>
        <w:t xml:space="preserve">2.1.3 </w:t>
      </w:r>
      <w:r>
        <w:rPr>
          <w:szCs w:val="21"/>
        </w:rPr>
        <w:t xml:space="preserve"> </w:t>
      </w:r>
      <w:r>
        <w:rPr>
          <w:rFonts w:hAnsi="宋体"/>
          <w:szCs w:val="21"/>
        </w:rPr>
        <w:t>水泥</w:t>
      </w:r>
      <w:r>
        <w:rPr>
          <w:rFonts w:hint="eastAsia" w:hAnsi="宋体"/>
          <w:szCs w:val="21"/>
        </w:rPr>
        <w:t>的</w:t>
      </w:r>
      <w:r>
        <w:rPr>
          <w:rFonts w:hAnsi="宋体"/>
          <w:szCs w:val="21"/>
        </w:rPr>
        <w:t>应用应符合</w:t>
      </w:r>
      <w:r>
        <w:rPr>
          <w:rFonts w:hint="eastAsia" w:hAnsi="宋体"/>
          <w:szCs w:val="21"/>
        </w:rPr>
        <w:t>下列</w:t>
      </w:r>
      <w:r>
        <w:rPr>
          <w:rFonts w:hAnsi="宋体"/>
          <w:szCs w:val="21"/>
        </w:rPr>
        <w:t>规定：</w:t>
      </w:r>
    </w:p>
    <w:p w14:paraId="7533FF1F">
      <w:pPr>
        <w:spacing w:line="300" w:lineRule="auto"/>
        <w:ind w:firstLine="525" w:firstLineChars="250"/>
        <w:rPr>
          <w:rFonts w:hint="eastAsia" w:hAnsi="宋体"/>
          <w:szCs w:val="21"/>
        </w:rPr>
      </w:pPr>
      <w:r>
        <w:rPr>
          <w:rFonts w:hAnsi="宋体"/>
          <w:szCs w:val="21"/>
        </w:rPr>
        <w:t>1 宜采用新型干法窑生产的水泥</w:t>
      </w:r>
      <w:r>
        <w:rPr>
          <w:rFonts w:hint="eastAsia" w:hAnsi="宋体"/>
          <w:szCs w:val="21"/>
        </w:rPr>
        <w:t>。</w:t>
      </w:r>
    </w:p>
    <w:p w14:paraId="7533FF20">
      <w:pPr>
        <w:spacing w:line="300" w:lineRule="auto"/>
        <w:ind w:firstLine="525" w:firstLineChars="250"/>
        <w:rPr>
          <w:rFonts w:hint="eastAsia" w:hAnsi="宋体"/>
          <w:szCs w:val="21"/>
        </w:rPr>
      </w:pPr>
      <w:r>
        <w:rPr>
          <w:rFonts w:hAnsi="宋体"/>
          <w:szCs w:val="21"/>
        </w:rPr>
        <w:t xml:space="preserve">2 </w:t>
      </w:r>
      <w:r>
        <w:rPr>
          <w:rFonts w:hint="eastAsia" w:hAnsi="宋体"/>
          <w:szCs w:val="21"/>
        </w:rPr>
        <w:t>应注明</w:t>
      </w:r>
      <w:r>
        <w:rPr>
          <w:rFonts w:hAnsi="宋体"/>
          <w:szCs w:val="21"/>
        </w:rPr>
        <w:t>水泥中的混合材品种和掺加量</w:t>
      </w:r>
      <w:r>
        <w:rPr>
          <w:rFonts w:hint="eastAsia" w:hAnsi="宋体"/>
          <w:szCs w:val="21"/>
        </w:rPr>
        <w:t>。</w:t>
      </w:r>
    </w:p>
    <w:p w14:paraId="7533FF21">
      <w:pPr>
        <w:spacing w:line="300" w:lineRule="auto"/>
        <w:ind w:firstLine="525" w:firstLineChars="250"/>
        <w:rPr>
          <w:rFonts w:hint="eastAsia" w:hAnsi="宋体"/>
          <w:szCs w:val="21"/>
        </w:rPr>
      </w:pPr>
      <w:r>
        <w:rPr>
          <w:rFonts w:hAnsi="宋体"/>
          <w:szCs w:val="21"/>
        </w:rPr>
        <w:t>3 用于生产混凝土的水泥温度不宜高于60</w:t>
      </w:r>
      <w:r>
        <w:rPr>
          <w:rFonts w:hint="eastAsia" w:hAnsi="宋体"/>
          <w:szCs w:val="21"/>
        </w:rPr>
        <w:t>℃</w:t>
      </w:r>
      <w:r>
        <w:rPr>
          <w:rFonts w:hAnsi="宋体"/>
          <w:szCs w:val="21"/>
        </w:rPr>
        <w:t>。</w:t>
      </w:r>
    </w:p>
    <w:p w14:paraId="7533FF22">
      <w:pPr>
        <w:spacing w:before="312" w:beforeLines="100" w:after="312" w:afterLines="100" w:line="300" w:lineRule="auto"/>
        <w:jc w:val="center"/>
        <w:outlineLvl w:val="1"/>
        <w:rPr>
          <w:bCs/>
          <w:sz w:val="24"/>
        </w:rPr>
      </w:pPr>
      <w:bookmarkStart w:id="29" w:name="_Toc275249804"/>
      <w:bookmarkStart w:id="30" w:name="_Toc268120154"/>
      <w:bookmarkStart w:id="31" w:name="_Toc269885286"/>
      <w:bookmarkStart w:id="32" w:name="_Toc201943550"/>
      <w:bookmarkStart w:id="33" w:name="_Toc268120028"/>
      <w:bookmarkStart w:id="34" w:name="_Toc268678422"/>
      <w:r>
        <w:rPr>
          <w:bCs/>
          <w:sz w:val="24"/>
        </w:rPr>
        <w:t xml:space="preserve">2.2 </w:t>
      </w:r>
      <w:r>
        <w:rPr>
          <w:rFonts w:hint="eastAsia"/>
          <w:bCs/>
          <w:sz w:val="24"/>
        </w:rPr>
        <w:t xml:space="preserve"> </w:t>
      </w:r>
      <w:r>
        <w:rPr>
          <w:rFonts w:hAnsi="宋体"/>
          <w:bCs/>
          <w:sz w:val="24"/>
        </w:rPr>
        <w:t>粗骨料</w:t>
      </w:r>
      <w:bookmarkEnd w:id="29"/>
      <w:bookmarkEnd w:id="30"/>
      <w:bookmarkEnd w:id="31"/>
      <w:bookmarkEnd w:id="32"/>
      <w:bookmarkEnd w:id="33"/>
      <w:bookmarkEnd w:id="34"/>
    </w:p>
    <w:p w14:paraId="7533FF23">
      <w:pPr>
        <w:spacing w:line="300" w:lineRule="auto"/>
        <w:rPr>
          <w:rFonts w:hint="eastAsia" w:hAnsi="宋体"/>
          <w:szCs w:val="21"/>
        </w:rPr>
      </w:pPr>
      <w:r>
        <w:rPr>
          <w:b/>
          <w:szCs w:val="21"/>
        </w:rPr>
        <w:t>2.2.1</w:t>
      </w:r>
      <w:r>
        <w:rPr>
          <w:szCs w:val="21"/>
        </w:rPr>
        <w:t xml:space="preserve">  </w:t>
      </w:r>
      <w:r>
        <w:rPr>
          <w:rFonts w:hAnsi="宋体"/>
          <w:szCs w:val="21"/>
        </w:rPr>
        <w:t>粗骨料应符合现行</w:t>
      </w:r>
      <w:r>
        <w:rPr>
          <w:rFonts w:hint="eastAsia" w:hAnsi="宋体"/>
          <w:szCs w:val="21"/>
        </w:rPr>
        <w:t>国家标准《建设用卵石、碎石》GB/T 14685或现行</w:t>
      </w:r>
      <w:r>
        <w:rPr>
          <w:rFonts w:hAnsi="宋体"/>
          <w:szCs w:val="21"/>
        </w:rPr>
        <w:t>行业标准《普通混凝土用砂、石质量及检验方法标准》</w:t>
      </w:r>
      <w:r>
        <w:rPr>
          <w:szCs w:val="21"/>
        </w:rPr>
        <w:t>JGJ 52</w:t>
      </w:r>
      <w:r>
        <w:rPr>
          <w:rFonts w:hAnsi="宋体"/>
          <w:szCs w:val="21"/>
        </w:rPr>
        <w:t>的规定</w:t>
      </w:r>
      <w:r>
        <w:rPr>
          <w:rFonts w:hint="eastAsia"/>
          <w:szCs w:val="21"/>
        </w:rPr>
        <w:t>，高性能混凝土用粗骨料宜符合现行行业标准《高性能混凝土用骨料》JG/T 568的规定，再生粗骨料应符合现行国家标准《混凝土用再生粗骨料》GB/T 25177的规定，</w:t>
      </w:r>
      <w:r>
        <w:rPr>
          <w:szCs w:val="18"/>
        </w:rPr>
        <w:t>轻</w:t>
      </w:r>
      <w:r>
        <w:rPr>
          <w:rFonts w:hint="eastAsia"/>
          <w:szCs w:val="18"/>
        </w:rPr>
        <w:t>粗</w:t>
      </w:r>
      <w:r>
        <w:rPr>
          <w:szCs w:val="18"/>
        </w:rPr>
        <w:t>骨料应符合</w:t>
      </w:r>
      <w:r>
        <w:rPr>
          <w:rFonts w:hint="eastAsia"/>
          <w:szCs w:val="18"/>
        </w:rPr>
        <w:t>现行国家标准《轻集料及其试验方法 第1部分-轻集料》</w:t>
      </w:r>
      <w:r>
        <w:t>GB/T 17431</w:t>
      </w:r>
      <w:r>
        <w:rPr>
          <w:rFonts w:hint="eastAsia"/>
        </w:rPr>
        <w:t>.1</w:t>
      </w:r>
      <w:r>
        <w:rPr>
          <w:szCs w:val="18"/>
        </w:rPr>
        <w:t>的规定，重</w:t>
      </w:r>
      <w:r>
        <w:rPr>
          <w:rFonts w:hint="eastAsia"/>
          <w:szCs w:val="18"/>
        </w:rPr>
        <w:t>粗</w:t>
      </w:r>
      <w:r>
        <w:rPr>
          <w:szCs w:val="18"/>
        </w:rPr>
        <w:t>骨料应符合</w:t>
      </w:r>
      <w:r>
        <w:rPr>
          <w:rFonts w:hint="eastAsia"/>
          <w:szCs w:val="18"/>
        </w:rPr>
        <w:t>现行国家标准《防辐射混凝土》</w:t>
      </w:r>
      <w:r>
        <w:t>GB/T 34008</w:t>
      </w:r>
      <w:r>
        <w:rPr>
          <w:szCs w:val="18"/>
        </w:rPr>
        <w:t>的规定</w:t>
      </w:r>
      <w:r>
        <w:rPr>
          <w:rFonts w:hint="eastAsia"/>
          <w:szCs w:val="18"/>
        </w:rPr>
        <w:t>，当采用铬铁渣、硅锰渣、蒸压粉煤灰骨料等其他骨料时，应经过系统试验研究和论证，并应进行长期性能和耐久性能试验验证符合工程或设计要求后方可使用。钢渣不应作为粗骨料。</w:t>
      </w:r>
    </w:p>
    <w:p w14:paraId="7533FF24">
      <w:pPr>
        <w:spacing w:line="300" w:lineRule="auto"/>
        <w:rPr>
          <w:rFonts w:hint="eastAsia" w:hAnsi="宋体"/>
          <w:szCs w:val="21"/>
        </w:rPr>
      </w:pPr>
      <w:r>
        <w:rPr>
          <w:b/>
          <w:szCs w:val="21"/>
        </w:rPr>
        <w:t xml:space="preserve">2.2.2 </w:t>
      </w:r>
      <w:r>
        <w:rPr>
          <w:szCs w:val="21"/>
        </w:rPr>
        <w:t xml:space="preserve"> </w:t>
      </w:r>
      <w:r>
        <w:rPr>
          <w:rFonts w:hAnsi="宋体"/>
          <w:szCs w:val="21"/>
        </w:rPr>
        <w:t>粗骨料质量</w:t>
      </w:r>
      <w:r>
        <w:rPr>
          <w:rFonts w:hint="eastAsia" w:hAnsi="宋体"/>
          <w:szCs w:val="21"/>
        </w:rPr>
        <w:t>主要</w:t>
      </w:r>
      <w:r>
        <w:rPr>
          <w:rFonts w:hAnsi="宋体"/>
          <w:szCs w:val="21"/>
        </w:rPr>
        <w:t>控制项目应包括颗粒级配、针片状</w:t>
      </w:r>
      <w:r>
        <w:rPr>
          <w:rFonts w:hint="eastAsia" w:hAnsi="宋体"/>
          <w:szCs w:val="21"/>
        </w:rPr>
        <w:t>颗粒</w:t>
      </w:r>
      <w:r>
        <w:rPr>
          <w:rFonts w:hAnsi="宋体"/>
          <w:szCs w:val="21"/>
        </w:rPr>
        <w:t>含量、</w:t>
      </w:r>
      <w:r>
        <w:rPr>
          <w:rFonts w:hint="eastAsia" w:hAnsi="宋体"/>
          <w:szCs w:val="21"/>
        </w:rPr>
        <w:t>卵石</w:t>
      </w:r>
      <w:r>
        <w:rPr>
          <w:rFonts w:hAnsi="宋体"/>
          <w:szCs w:val="21"/>
        </w:rPr>
        <w:t>含泥量</w:t>
      </w:r>
      <w:r>
        <w:rPr>
          <w:rFonts w:hint="eastAsia" w:hAnsi="宋体"/>
          <w:szCs w:val="21"/>
        </w:rPr>
        <w:t>（碎石泥粉含量）</w:t>
      </w:r>
      <w:r>
        <w:rPr>
          <w:rFonts w:hAnsi="宋体"/>
          <w:szCs w:val="21"/>
        </w:rPr>
        <w:t>、泥块含量、压碎值指标和坚固性，</w:t>
      </w:r>
      <w:r>
        <w:rPr>
          <w:rFonts w:hint="eastAsia" w:hAnsi="宋体"/>
          <w:szCs w:val="21"/>
        </w:rPr>
        <w:t>I类粗骨料质量主要控制项目还应包括不规则颗粒含量，连续粒级粗骨料质量主要控制项目还应包括松散堆积空隙率，</w:t>
      </w:r>
      <w:r>
        <w:rPr>
          <w:rFonts w:hAnsi="宋体"/>
          <w:szCs w:val="21"/>
        </w:rPr>
        <w:t>用于高强混凝土的粗骨料</w:t>
      </w:r>
      <w:r>
        <w:rPr>
          <w:rFonts w:hint="eastAsia" w:hAnsi="宋体"/>
          <w:szCs w:val="21"/>
        </w:rPr>
        <w:t>质量主要</w:t>
      </w:r>
      <w:r>
        <w:rPr>
          <w:rFonts w:hAnsi="宋体"/>
          <w:szCs w:val="21"/>
        </w:rPr>
        <w:t>控制项目还应包括岩石抗压强度。</w:t>
      </w:r>
      <w:r>
        <w:rPr>
          <w:rFonts w:hint="eastAsia" w:hAnsi="宋体"/>
          <w:szCs w:val="21"/>
        </w:rPr>
        <w:t>再生粗骨料质量主要控制项目应包括泥块含量、吸水率、压碎指标、表观密度和坚固性。轻粗骨料质量主要控制项目应包括颗粒级配、堆积密度、筒压强度和吸水率；自燃煤矸石作轻粗骨料时尚应包括烧失量、三氧化硫含量。</w:t>
      </w:r>
    </w:p>
    <w:p w14:paraId="7533FF25">
      <w:pPr>
        <w:spacing w:line="300" w:lineRule="auto"/>
        <w:rPr>
          <w:szCs w:val="21"/>
        </w:rPr>
      </w:pPr>
      <w:r>
        <w:rPr>
          <w:b/>
          <w:szCs w:val="21"/>
        </w:rPr>
        <w:t xml:space="preserve">2.2.3 </w:t>
      </w:r>
      <w:r>
        <w:rPr>
          <w:szCs w:val="21"/>
        </w:rPr>
        <w:t xml:space="preserve"> </w:t>
      </w:r>
      <w:r>
        <w:rPr>
          <w:rFonts w:hAnsi="宋体"/>
          <w:szCs w:val="21"/>
        </w:rPr>
        <w:t>粗骨料在应用方面应符合下列规定：</w:t>
      </w:r>
    </w:p>
    <w:p w14:paraId="7533FF26">
      <w:pPr>
        <w:spacing w:line="300" w:lineRule="auto"/>
        <w:ind w:firstLine="525" w:firstLineChars="250"/>
        <w:rPr>
          <w:szCs w:val="21"/>
        </w:rPr>
      </w:pPr>
      <w:r>
        <w:rPr>
          <w:szCs w:val="21"/>
        </w:rPr>
        <w:t>1</w:t>
      </w:r>
      <w:r>
        <w:rPr>
          <w:rFonts w:hint="eastAsia"/>
          <w:szCs w:val="21"/>
        </w:rPr>
        <w:t xml:space="preserve"> </w:t>
      </w:r>
      <w:r>
        <w:rPr>
          <w:rFonts w:hAnsi="宋体"/>
          <w:szCs w:val="21"/>
        </w:rPr>
        <w:t>混凝土粗骨料宜采用连续级配。</w:t>
      </w:r>
    </w:p>
    <w:p w14:paraId="7533FF27">
      <w:pPr>
        <w:spacing w:line="300" w:lineRule="auto"/>
        <w:ind w:firstLine="482"/>
      </w:pPr>
      <w:r>
        <w:rPr>
          <w:szCs w:val="21"/>
        </w:rPr>
        <w:t>2</w:t>
      </w:r>
      <w:r>
        <w:rPr>
          <w:rFonts w:hint="eastAsia"/>
          <w:szCs w:val="21"/>
        </w:rPr>
        <w:t xml:space="preserve"> </w:t>
      </w:r>
      <w:r>
        <w:rPr>
          <w:rFonts w:hAnsi="宋体"/>
          <w:szCs w:val="21"/>
        </w:rPr>
        <w:t>对于混凝土结构，</w:t>
      </w:r>
      <w:r>
        <w:rPr>
          <w:rFonts w:hAnsi="宋体"/>
        </w:rPr>
        <w:t>粗骨料最大公称粒径不得</w:t>
      </w:r>
      <w:r>
        <w:rPr>
          <w:rFonts w:hint="eastAsia" w:hAnsi="宋体"/>
        </w:rPr>
        <w:t>大于</w:t>
      </w:r>
      <w:r>
        <w:rPr>
          <w:rFonts w:hAnsi="宋体"/>
        </w:rPr>
        <w:t>构件截面最小尺寸的</w:t>
      </w:r>
      <w:r>
        <w:t>1/4</w:t>
      </w:r>
      <w:r>
        <w:rPr>
          <w:rFonts w:hAnsi="宋体"/>
        </w:rPr>
        <w:t>，且不得</w:t>
      </w:r>
      <w:r>
        <w:rPr>
          <w:rFonts w:hint="eastAsia" w:hAnsi="宋体"/>
        </w:rPr>
        <w:t>大于</w:t>
      </w:r>
      <w:r>
        <w:rPr>
          <w:rFonts w:hAnsi="宋体"/>
        </w:rPr>
        <w:t>钢筋最小净间距的</w:t>
      </w:r>
      <w:r>
        <w:t>3/4</w:t>
      </w:r>
      <w:r>
        <w:rPr>
          <w:rFonts w:hAnsi="宋体"/>
        </w:rPr>
        <w:t>；对混凝土实心板，骨料的最大公称粒径不宜</w:t>
      </w:r>
      <w:r>
        <w:rPr>
          <w:rFonts w:hint="eastAsia" w:hAnsi="宋体"/>
        </w:rPr>
        <w:t>大于</w:t>
      </w:r>
      <w:r>
        <w:rPr>
          <w:rFonts w:hAnsi="宋体"/>
        </w:rPr>
        <w:t>板厚的</w:t>
      </w:r>
      <w:r>
        <w:t>1/3</w:t>
      </w:r>
      <w:r>
        <w:rPr>
          <w:rFonts w:hAnsi="宋体"/>
        </w:rPr>
        <w:t>，且不得</w:t>
      </w:r>
      <w:r>
        <w:rPr>
          <w:rFonts w:hint="eastAsia" w:hAnsi="宋体"/>
        </w:rPr>
        <w:t>大于</w:t>
      </w:r>
      <w:r>
        <w:t>40mm</w:t>
      </w:r>
      <w:r>
        <w:rPr>
          <w:rFonts w:hAnsi="宋体"/>
        </w:rPr>
        <w:t>；</w:t>
      </w:r>
      <w:r>
        <w:rPr>
          <w:rFonts w:hAnsi="宋体"/>
          <w:szCs w:val="21"/>
        </w:rPr>
        <w:t>对于大体积混凝土，</w:t>
      </w:r>
      <w:r>
        <w:rPr>
          <w:rFonts w:hAnsi="宋体"/>
        </w:rPr>
        <w:t>粗骨料</w:t>
      </w:r>
      <w:r>
        <w:rPr>
          <w:rFonts w:hAnsi="宋体"/>
          <w:szCs w:val="21"/>
        </w:rPr>
        <w:t>最大</w:t>
      </w:r>
      <w:r>
        <w:rPr>
          <w:rFonts w:hAnsi="宋体"/>
        </w:rPr>
        <w:t>公称</w:t>
      </w:r>
      <w:r>
        <w:rPr>
          <w:rFonts w:hAnsi="宋体"/>
          <w:szCs w:val="21"/>
        </w:rPr>
        <w:t>粒径</w:t>
      </w:r>
      <w:r>
        <w:rPr>
          <w:rFonts w:hint="eastAsia" w:hAnsi="宋体"/>
          <w:szCs w:val="21"/>
        </w:rPr>
        <w:t>宜为</w:t>
      </w:r>
      <w:r>
        <w:rPr>
          <w:rFonts w:hint="eastAsia"/>
          <w:szCs w:val="21"/>
        </w:rPr>
        <w:t>5mm~31.5mm；对于自密实混凝土，粗骨料最大公称粒径不宜大于20mm</w:t>
      </w:r>
      <w:r>
        <w:rPr>
          <w:rFonts w:hAnsi="宋体"/>
          <w:szCs w:val="21"/>
        </w:rPr>
        <w:t>。</w:t>
      </w:r>
    </w:p>
    <w:p w14:paraId="7533FF28">
      <w:pPr>
        <w:spacing w:line="300" w:lineRule="auto"/>
        <w:ind w:firstLine="482"/>
        <w:rPr>
          <w:szCs w:val="21"/>
        </w:rPr>
      </w:pPr>
      <w:r>
        <w:rPr>
          <w:szCs w:val="21"/>
        </w:rPr>
        <w:t>3</w:t>
      </w:r>
      <w:r>
        <w:rPr>
          <w:rFonts w:hint="eastAsia"/>
          <w:szCs w:val="21"/>
        </w:rPr>
        <w:t xml:space="preserve"> </w:t>
      </w:r>
      <w:r>
        <w:rPr>
          <w:rFonts w:hAnsi="宋体"/>
          <w:szCs w:val="21"/>
        </w:rPr>
        <w:t>对于有抗渗、抗冻、抗腐蚀、耐磨或其他其</w:t>
      </w:r>
      <w:r>
        <w:rPr>
          <w:rFonts w:hint="eastAsia" w:hAnsi="宋体"/>
          <w:szCs w:val="21"/>
        </w:rPr>
        <w:t>他</w:t>
      </w:r>
      <w:r>
        <w:rPr>
          <w:rFonts w:hAnsi="宋体"/>
          <w:szCs w:val="21"/>
        </w:rPr>
        <w:t>特殊要求的混凝土，粗骨料中的含泥量和泥块含量分别不应大于</w:t>
      </w:r>
      <w:r>
        <w:rPr>
          <w:szCs w:val="21"/>
        </w:rPr>
        <w:t>1.0%</w:t>
      </w:r>
      <w:r>
        <w:rPr>
          <w:rFonts w:hAnsi="宋体"/>
          <w:szCs w:val="21"/>
        </w:rPr>
        <w:t>和</w:t>
      </w:r>
      <w:r>
        <w:rPr>
          <w:szCs w:val="21"/>
        </w:rPr>
        <w:t>0.5%</w:t>
      </w:r>
      <w:r>
        <w:rPr>
          <w:rFonts w:hAnsi="宋体"/>
          <w:szCs w:val="21"/>
        </w:rPr>
        <w:t>；坚固性检验的质量损失不应大于</w:t>
      </w:r>
      <w:r>
        <w:rPr>
          <w:szCs w:val="21"/>
        </w:rPr>
        <w:t>8%</w:t>
      </w:r>
      <w:r>
        <w:rPr>
          <w:rFonts w:hAnsi="宋体"/>
          <w:szCs w:val="21"/>
        </w:rPr>
        <w:t>。</w:t>
      </w:r>
    </w:p>
    <w:p w14:paraId="7533FF29">
      <w:pPr>
        <w:spacing w:line="300" w:lineRule="auto"/>
        <w:ind w:firstLine="482"/>
        <w:rPr>
          <w:szCs w:val="21"/>
        </w:rPr>
      </w:pPr>
      <w:r>
        <w:rPr>
          <w:szCs w:val="21"/>
        </w:rPr>
        <w:t>4</w:t>
      </w:r>
      <w:r>
        <w:rPr>
          <w:rFonts w:hint="eastAsia"/>
          <w:szCs w:val="21"/>
        </w:rPr>
        <w:t xml:space="preserve"> </w:t>
      </w:r>
      <w:r>
        <w:rPr>
          <w:rFonts w:hAnsi="宋体"/>
          <w:szCs w:val="21"/>
        </w:rPr>
        <w:t>对于高强混凝土，粗骨料的岩石抗压强度应至少比混凝土</w:t>
      </w:r>
      <w:r>
        <w:rPr>
          <w:rFonts w:hint="eastAsia" w:hAnsi="宋体"/>
          <w:szCs w:val="21"/>
        </w:rPr>
        <w:t>强度等级</w:t>
      </w:r>
      <w:r>
        <w:rPr>
          <w:rFonts w:hAnsi="宋体"/>
          <w:szCs w:val="21"/>
        </w:rPr>
        <w:t>高</w:t>
      </w:r>
      <w:r>
        <w:rPr>
          <w:szCs w:val="21"/>
        </w:rPr>
        <w:t>30%</w:t>
      </w:r>
      <w:r>
        <w:rPr>
          <w:rFonts w:hAnsi="宋体"/>
          <w:szCs w:val="21"/>
        </w:rPr>
        <w:t>；最大公称粒径不宜大于</w:t>
      </w:r>
      <w:r>
        <w:rPr>
          <w:szCs w:val="21"/>
        </w:rPr>
        <w:t>25mm</w:t>
      </w:r>
      <w:r>
        <w:rPr>
          <w:rFonts w:hAnsi="宋体"/>
          <w:szCs w:val="21"/>
        </w:rPr>
        <w:t>，针片状</w:t>
      </w:r>
      <w:r>
        <w:rPr>
          <w:rFonts w:hint="eastAsia" w:hAnsi="宋体"/>
          <w:szCs w:val="21"/>
        </w:rPr>
        <w:t>颗粒</w:t>
      </w:r>
      <w:r>
        <w:rPr>
          <w:rFonts w:hAnsi="宋体"/>
          <w:szCs w:val="21"/>
        </w:rPr>
        <w:t>含量不宜大于</w:t>
      </w:r>
      <w:r>
        <w:rPr>
          <w:szCs w:val="21"/>
        </w:rPr>
        <w:t>5%</w:t>
      </w:r>
      <w:r>
        <w:rPr>
          <w:rFonts w:hint="eastAsia" w:hAnsi="宋体"/>
          <w:szCs w:val="21"/>
        </w:rPr>
        <w:t>且</w:t>
      </w:r>
      <w:r>
        <w:rPr>
          <w:rFonts w:hAnsi="宋体"/>
          <w:szCs w:val="21"/>
        </w:rPr>
        <w:t>不应大于</w:t>
      </w:r>
      <w:r>
        <w:rPr>
          <w:szCs w:val="21"/>
        </w:rPr>
        <w:t>8%</w:t>
      </w:r>
      <w:r>
        <w:rPr>
          <w:rFonts w:hAnsi="宋体"/>
          <w:szCs w:val="21"/>
        </w:rPr>
        <w:t>；含泥量和泥块含量分别不应大于</w:t>
      </w:r>
      <w:r>
        <w:rPr>
          <w:szCs w:val="21"/>
        </w:rPr>
        <w:t>0.5%</w:t>
      </w:r>
      <w:r>
        <w:rPr>
          <w:rFonts w:hAnsi="宋体"/>
          <w:szCs w:val="21"/>
        </w:rPr>
        <w:t>和</w:t>
      </w:r>
      <w:r>
        <w:rPr>
          <w:szCs w:val="21"/>
        </w:rPr>
        <w:t>0.2%</w:t>
      </w:r>
      <w:r>
        <w:rPr>
          <w:rFonts w:hAnsi="宋体"/>
          <w:szCs w:val="21"/>
        </w:rPr>
        <w:t>。</w:t>
      </w:r>
    </w:p>
    <w:p w14:paraId="7533FF2A">
      <w:pPr>
        <w:spacing w:line="300" w:lineRule="auto"/>
        <w:ind w:firstLine="482"/>
        <w:rPr>
          <w:rFonts w:hint="eastAsia" w:hAnsi="宋体"/>
          <w:szCs w:val="21"/>
        </w:rPr>
      </w:pPr>
      <w:r>
        <w:rPr>
          <w:szCs w:val="21"/>
        </w:rPr>
        <w:t>5</w:t>
      </w:r>
      <w:r>
        <w:rPr>
          <w:rFonts w:hint="eastAsia"/>
          <w:szCs w:val="21"/>
        </w:rPr>
        <w:t xml:space="preserve"> </w:t>
      </w:r>
      <w:r>
        <w:rPr>
          <w:rFonts w:hAnsi="宋体"/>
          <w:szCs w:val="21"/>
        </w:rPr>
        <w:t>对粗骨料或用于制作粗骨料的岩石，应进行碱活性检验，包括碱</w:t>
      </w:r>
      <w:r>
        <w:rPr>
          <w:szCs w:val="21"/>
        </w:rPr>
        <w:t>-</w:t>
      </w:r>
      <w:r>
        <w:rPr>
          <w:rFonts w:hAnsi="宋体"/>
          <w:szCs w:val="21"/>
        </w:rPr>
        <w:t>硅酸</w:t>
      </w:r>
      <w:r>
        <w:rPr>
          <w:rFonts w:hint="eastAsia" w:hAnsi="宋体"/>
          <w:szCs w:val="21"/>
        </w:rPr>
        <w:t>反应</w:t>
      </w:r>
      <w:r>
        <w:rPr>
          <w:rFonts w:hAnsi="宋体"/>
          <w:szCs w:val="21"/>
        </w:rPr>
        <w:t>活性检验</w:t>
      </w:r>
      <w:r>
        <w:rPr>
          <w:rFonts w:hint="eastAsia" w:hAnsi="宋体"/>
          <w:szCs w:val="21"/>
        </w:rPr>
        <w:t>或</w:t>
      </w:r>
      <w:r>
        <w:rPr>
          <w:rFonts w:hAnsi="宋体"/>
          <w:szCs w:val="21"/>
        </w:rPr>
        <w:t>碱</w:t>
      </w:r>
      <w:r>
        <w:rPr>
          <w:szCs w:val="21"/>
        </w:rPr>
        <w:t>-</w:t>
      </w:r>
      <w:r>
        <w:rPr>
          <w:rFonts w:hAnsi="宋体"/>
          <w:szCs w:val="21"/>
        </w:rPr>
        <w:t>碳酸盐</w:t>
      </w:r>
      <w:r>
        <w:rPr>
          <w:rFonts w:hint="eastAsia" w:hAnsi="宋体"/>
          <w:szCs w:val="21"/>
        </w:rPr>
        <w:t>反应</w:t>
      </w:r>
      <w:r>
        <w:rPr>
          <w:rFonts w:hAnsi="宋体"/>
          <w:szCs w:val="21"/>
        </w:rPr>
        <w:t>活性检验；对于有预防混凝土碱</w:t>
      </w:r>
      <w:r>
        <w:rPr>
          <w:rFonts w:hint="eastAsia" w:hAnsi="宋体"/>
          <w:szCs w:val="21"/>
        </w:rPr>
        <w:t>-</w:t>
      </w:r>
      <w:r>
        <w:rPr>
          <w:rFonts w:hAnsi="宋体"/>
          <w:szCs w:val="21"/>
        </w:rPr>
        <w:t>骨料反应要求的混凝土工程，不宜采用有碱活性的粗骨料。</w:t>
      </w:r>
    </w:p>
    <w:p w14:paraId="7533FF2B">
      <w:pPr>
        <w:spacing w:before="312" w:beforeLines="100" w:after="312" w:afterLines="100" w:line="300" w:lineRule="auto"/>
        <w:jc w:val="center"/>
        <w:outlineLvl w:val="1"/>
        <w:rPr>
          <w:rFonts w:hint="eastAsia" w:hAnsi="宋体"/>
          <w:bCs/>
          <w:sz w:val="24"/>
        </w:rPr>
      </w:pPr>
      <w:bookmarkStart w:id="35" w:name="_Toc269885287"/>
      <w:bookmarkStart w:id="36" w:name="_Toc201943551"/>
      <w:bookmarkStart w:id="37" w:name="_Toc275249805"/>
      <w:r>
        <w:rPr>
          <w:rFonts w:hAnsi="宋体"/>
          <w:bCs/>
          <w:sz w:val="24"/>
        </w:rPr>
        <w:t xml:space="preserve">2.3 </w:t>
      </w:r>
      <w:r>
        <w:rPr>
          <w:rFonts w:hint="eastAsia" w:hAnsi="宋体"/>
          <w:bCs/>
          <w:sz w:val="24"/>
        </w:rPr>
        <w:t xml:space="preserve"> </w:t>
      </w:r>
      <w:r>
        <w:rPr>
          <w:rFonts w:hAnsi="宋体"/>
          <w:bCs/>
          <w:sz w:val="24"/>
        </w:rPr>
        <w:t>细骨料</w:t>
      </w:r>
      <w:bookmarkEnd w:id="35"/>
      <w:bookmarkEnd w:id="36"/>
      <w:bookmarkEnd w:id="37"/>
    </w:p>
    <w:p w14:paraId="7533FF2C">
      <w:pPr>
        <w:spacing w:line="300" w:lineRule="auto"/>
        <w:rPr>
          <w:szCs w:val="21"/>
        </w:rPr>
      </w:pPr>
      <w:r>
        <w:rPr>
          <w:b/>
          <w:szCs w:val="21"/>
        </w:rPr>
        <w:t>2.3.1</w:t>
      </w:r>
      <w:r>
        <w:rPr>
          <w:szCs w:val="21"/>
        </w:rPr>
        <w:t xml:space="preserve">  </w:t>
      </w:r>
      <w:r>
        <w:rPr>
          <w:rFonts w:hint="eastAsia" w:hAnsi="宋体"/>
          <w:szCs w:val="21"/>
        </w:rPr>
        <w:t>细</w:t>
      </w:r>
      <w:r>
        <w:rPr>
          <w:rFonts w:hAnsi="宋体"/>
          <w:szCs w:val="21"/>
        </w:rPr>
        <w:t>骨料应符合</w:t>
      </w:r>
      <w:r>
        <w:rPr>
          <w:rFonts w:hint="eastAsia" w:hAnsi="宋体"/>
          <w:szCs w:val="21"/>
        </w:rPr>
        <w:t>国家现行标准《建设用砂》GB/T 14684或</w:t>
      </w:r>
      <w:r>
        <w:rPr>
          <w:rFonts w:hAnsi="宋体"/>
          <w:szCs w:val="21"/>
        </w:rPr>
        <w:t>《普通混凝土用砂、石质量及检验方法标准》</w:t>
      </w:r>
      <w:r>
        <w:rPr>
          <w:szCs w:val="21"/>
        </w:rPr>
        <w:t>JGJ 52</w:t>
      </w:r>
      <w:r>
        <w:rPr>
          <w:rFonts w:hAnsi="宋体"/>
          <w:szCs w:val="21"/>
        </w:rPr>
        <w:t>的规定</w:t>
      </w:r>
      <w:r>
        <w:rPr>
          <w:rFonts w:hint="eastAsia"/>
          <w:szCs w:val="21"/>
        </w:rPr>
        <w:t>，高性能混凝土用细骨料宜符合现行行业标准《高性能混凝土用骨料》JG/T 568的规定，</w:t>
      </w:r>
      <w:r>
        <w:rPr>
          <w:rFonts w:hAnsi="宋体"/>
          <w:szCs w:val="21"/>
        </w:rPr>
        <w:t>海砂应符合现行行业标准《海砂混凝土应用技术规范》</w:t>
      </w:r>
      <w:r>
        <w:rPr>
          <w:szCs w:val="21"/>
        </w:rPr>
        <w:t>JGJ 206</w:t>
      </w:r>
      <w:r>
        <w:rPr>
          <w:rFonts w:hAnsi="宋体"/>
          <w:szCs w:val="21"/>
        </w:rPr>
        <w:t>的</w:t>
      </w:r>
      <w:r>
        <w:rPr>
          <w:rFonts w:hint="eastAsia" w:hAnsi="宋体"/>
          <w:szCs w:val="21"/>
        </w:rPr>
        <w:t>有关</w:t>
      </w:r>
      <w:r>
        <w:rPr>
          <w:rFonts w:hAnsi="宋体"/>
          <w:szCs w:val="21"/>
        </w:rPr>
        <w:t>规定</w:t>
      </w:r>
      <w:r>
        <w:rPr>
          <w:rFonts w:hint="eastAsia" w:hAnsi="宋体"/>
          <w:szCs w:val="21"/>
        </w:rPr>
        <w:t>，</w:t>
      </w:r>
      <w:r>
        <w:rPr>
          <w:rFonts w:hint="eastAsia"/>
          <w:szCs w:val="21"/>
        </w:rPr>
        <w:t>再生细骨料应符合现行国家标准《混凝土和砂浆用再生细骨料》GB/T 25176的规定，</w:t>
      </w:r>
      <w:r>
        <w:rPr>
          <w:szCs w:val="18"/>
        </w:rPr>
        <w:t>轻</w:t>
      </w:r>
      <w:r>
        <w:rPr>
          <w:rFonts w:hint="eastAsia"/>
          <w:szCs w:val="18"/>
        </w:rPr>
        <w:t>细</w:t>
      </w:r>
      <w:r>
        <w:rPr>
          <w:szCs w:val="18"/>
        </w:rPr>
        <w:t>骨料应符合</w:t>
      </w:r>
      <w:r>
        <w:rPr>
          <w:rFonts w:hint="eastAsia"/>
          <w:szCs w:val="18"/>
        </w:rPr>
        <w:t>现行国家标准《轻集料及其试验方法 第1部分-轻集料》</w:t>
      </w:r>
      <w:r>
        <w:t>GB/T 17431</w:t>
      </w:r>
      <w:r>
        <w:rPr>
          <w:rFonts w:hint="eastAsia"/>
        </w:rPr>
        <w:t>.1</w:t>
      </w:r>
      <w:r>
        <w:rPr>
          <w:szCs w:val="18"/>
        </w:rPr>
        <w:t>的规定，重</w:t>
      </w:r>
      <w:r>
        <w:rPr>
          <w:rFonts w:hint="eastAsia"/>
          <w:szCs w:val="18"/>
        </w:rPr>
        <w:t>细</w:t>
      </w:r>
      <w:r>
        <w:rPr>
          <w:szCs w:val="18"/>
        </w:rPr>
        <w:t>骨料应符合</w:t>
      </w:r>
      <w:r>
        <w:rPr>
          <w:rFonts w:hint="eastAsia"/>
          <w:szCs w:val="18"/>
        </w:rPr>
        <w:t>现行国家标准《防辐射混凝土》</w:t>
      </w:r>
      <w:r>
        <w:t>GB/T 34008</w:t>
      </w:r>
      <w:r>
        <w:rPr>
          <w:szCs w:val="18"/>
        </w:rPr>
        <w:t>的规定</w:t>
      </w:r>
      <w:r>
        <w:rPr>
          <w:rFonts w:hint="eastAsia"/>
          <w:szCs w:val="18"/>
        </w:rPr>
        <w:t>，当采用铬铁渣、硅锰渣、蒸压粉煤灰骨料等其他骨料时，应经过系统试验研究和论证，并应进行长期性能和耐久性能试验验证符合工程或设计要求后方可使用。钢渣不应作为细骨料。</w:t>
      </w:r>
    </w:p>
    <w:p w14:paraId="7533FF2D">
      <w:pPr>
        <w:spacing w:line="300" w:lineRule="auto"/>
        <w:rPr>
          <w:szCs w:val="21"/>
        </w:rPr>
      </w:pPr>
      <w:r>
        <w:rPr>
          <w:b/>
          <w:szCs w:val="21"/>
        </w:rPr>
        <w:t xml:space="preserve">2.3.2 </w:t>
      </w:r>
      <w:r>
        <w:rPr>
          <w:szCs w:val="21"/>
        </w:rPr>
        <w:t xml:space="preserve"> </w:t>
      </w:r>
      <w:r>
        <w:rPr>
          <w:rFonts w:hint="eastAsia"/>
          <w:szCs w:val="21"/>
        </w:rPr>
        <w:t>天然砂质量主要控制项目应包括颗粒级配、细度模数、含泥量、泥块含量、坚固性、氯离子含量和有害物质含量；机制砂或混合砂质量主要控制项目应包括颗粒级配、细度模数、石粉含量、泥块含量、坚固性、压碎指标，</w:t>
      </w:r>
      <w:r>
        <w:rPr>
          <w:szCs w:val="21"/>
        </w:rPr>
        <w:t>I</w:t>
      </w:r>
      <w:r>
        <w:rPr>
          <w:rFonts w:hint="eastAsia"/>
          <w:szCs w:val="21"/>
        </w:rPr>
        <w:t>类机制砂质量主要控制项目还应包括片状颗粒含量。海砂质量主要控制项目还应包括贝壳含量。再生细骨料质量主要控制项目应包括泥块含量、再生细骨料胶砂需水量比、表观密度。轻细骨料质量主要控制项目应包括颗粒级配、堆积密度、吸水率。</w:t>
      </w:r>
    </w:p>
    <w:p w14:paraId="7533FF2E">
      <w:pPr>
        <w:spacing w:line="300" w:lineRule="auto"/>
        <w:rPr>
          <w:szCs w:val="21"/>
        </w:rPr>
      </w:pPr>
      <w:r>
        <w:rPr>
          <w:b/>
          <w:szCs w:val="21"/>
        </w:rPr>
        <w:t xml:space="preserve">2.3.3 </w:t>
      </w:r>
      <w:r>
        <w:rPr>
          <w:szCs w:val="21"/>
        </w:rPr>
        <w:t xml:space="preserve"> </w:t>
      </w:r>
      <w:r>
        <w:rPr>
          <w:rFonts w:hAnsi="宋体"/>
          <w:szCs w:val="21"/>
        </w:rPr>
        <w:t>细骨料</w:t>
      </w:r>
      <w:r>
        <w:rPr>
          <w:rFonts w:hint="eastAsia" w:hAnsi="宋体"/>
          <w:szCs w:val="21"/>
        </w:rPr>
        <w:t>的</w:t>
      </w:r>
      <w:r>
        <w:rPr>
          <w:rFonts w:hAnsi="宋体"/>
          <w:szCs w:val="21"/>
        </w:rPr>
        <w:t>应用应符合下列规定：</w:t>
      </w:r>
    </w:p>
    <w:p w14:paraId="7533FF2F">
      <w:pPr>
        <w:spacing w:line="300" w:lineRule="auto"/>
        <w:ind w:firstLine="480"/>
        <w:rPr>
          <w:szCs w:val="21"/>
        </w:rPr>
      </w:pPr>
      <w:r>
        <w:rPr>
          <w:szCs w:val="21"/>
        </w:rPr>
        <w:t>1</w:t>
      </w:r>
      <w:r>
        <w:rPr>
          <w:rFonts w:hint="eastAsia"/>
          <w:szCs w:val="21"/>
        </w:rPr>
        <w:t xml:space="preserve"> </w:t>
      </w:r>
      <w:r>
        <w:rPr>
          <w:rFonts w:hAnsi="宋体"/>
          <w:szCs w:val="21"/>
        </w:rPr>
        <w:t>泵送混凝土宜采用中砂，且</w:t>
      </w:r>
      <w:r>
        <w:rPr>
          <w:szCs w:val="21"/>
        </w:rPr>
        <w:t>300</w:t>
      </w:r>
      <w:r>
        <w:rPr>
          <w:rFonts w:hint="eastAsia"/>
          <w:szCs w:val="21"/>
          <w:lang w:eastAsia="zh-CN"/>
        </w:rPr>
        <w:t>μ</w:t>
      </w:r>
      <w:r>
        <w:rPr>
          <w:rFonts w:hint="eastAsia"/>
          <w:szCs w:val="21"/>
          <w:lang w:val="en-US" w:eastAsia="zh-CN"/>
        </w:rPr>
        <w:t>m</w:t>
      </w:r>
      <w:r>
        <w:rPr>
          <w:rFonts w:hAnsi="宋体"/>
          <w:szCs w:val="21"/>
        </w:rPr>
        <w:t>筛孔的颗粒通过量不宜少于</w:t>
      </w:r>
      <w:r>
        <w:rPr>
          <w:szCs w:val="21"/>
        </w:rPr>
        <w:t>15%</w:t>
      </w:r>
      <w:r>
        <w:rPr>
          <w:rFonts w:hAnsi="宋体"/>
          <w:szCs w:val="21"/>
        </w:rPr>
        <w:t>。</w:t>
      </w:r>
    </w:p>
    <w:p w14:paraId="7533FF30">
      <w:pPr>
        <w:spacing w:line="300" w:lineRule="auto"/>
        <w:ind w:firstLine="480"/>
        <w:rPr>
          <w:szCs w:val="21"/>
        </w:rPr>
      </w:pPr>
      <w:r>
        <w:rPr>
          <w:szCs w:val="21"/>
        </w:rPr>
        <w:t>2</w:t>
      </w:r>
      <w:r>
        <w:rPr>
          <w:rFonts w:hint="eastAsia"/>
          <w:szCs w:val="21"/>
        </w:rPr>
        <w:t xml:space="preserve"> </w:t>
      </w:r>
      <w:r>
        <w:rPr>
          <w:rFonts w:hAnsi="宋体"/>
          <w:szCs w:val="21"/>
        </w:rPr>
        <w:t>对于有抗渗、抗冻或其他其</w:t>
      </w:r>
      <w:r>
        <w:rPr>
          <w:rFonts w:hint="eastAsia" w:hAnsi="宋体"/>
          <w:szCs w:val="21"/>
        </w:rPr>
        <w:t>他</w:t>
      </w:r>
      <w:r>
        <w:rPr>
          <w:rFonts w:hAnsi="宋体"/>
          <w:szCs w:val="21"/>
        </w:rPr>
        <w:t>特殊要求的混凝土，砂中的含泥量和泥块含量分别不应大于</w:t>
      </w:r>
      <w:r>
        <w:rPr>
          <w:szCs w:val="21"/>
        </w:rPr>
        <w:t>3.0%</w:t>
      </w:r>
      <w:r>
        <w:rPr>
          <w:rFonts w:hAnsi="宋体"/>
          <w:szCs w:val="21"/>
        </w:rPr>
        <w:t>和</w:t>
      </w:r>
      <w:r>
        <w:rPr>
          <w:szCs w:val="21"/>
        </w:rPr>
        <w:t>1.0%</w:t>
      </w:r>
      <w:r>
        <w:rPr>
          <w:rFonts w:hAnsi="宋体"/>
          <w:szCs w:val="21"/>
        </w:rPr>
        <w:t>；坚固性检验的质量损失不应大于</w:t>
      </w:r>
      <w:r>
        <w:rPr>
          <w:szCs w:val="21"/>
        </w:rPr>
        <w:t>8%</w:t>
      </w:r>
      <w:r>
        <w:rPr>
          <w:rFonts w:hAnsi="宋体"/>
          <w:szCs w:val="21"/>
        </w:rPr>
        <w:t>。</w:t>
      </w:r>
    </w:p>
    <w:p w14:paraId="7533FF31">
      <w:pPr>
        <w:spacing w:line="300" w:lineRule="auto"/>
        <w:ind w:firstLine="480"/>
        <w:rPr>
          <w:szCs w:val="21"/>
        </w:rPr>
      </w:pPr>
      <w:r>
        <w:rPr>
          <w:szCs w:val="21"/>
        </w:rPr>
        <w:t>3</w:t>
      </w:r>
      <w:r>
        <w:rPr>
          <w:rFonts w:hint="eastAsia"/>
          <w:szCs w:val="21"/>
        </w:rPr>
        <w:t xml:space="preserve"> </w:t>
      </w:r>
      <w:r>
        <w:rPr>
          <w:rFonts w:hAnsi="宋体"/>
          <w:szCs w:val="21"/>
        </w:rPr>
        <w:t>对于高强混凝土，砂的细度模数宜控制在</w:t>
      </w:r>
      <w:r>
        <w:rPr>
          <w:szCs w:val="21"/>
        </w:rPr>
        <w:t>2.6</w:t>
      </w:r>
      <w:r>
        <w:rPr>
          <w:rFonts w:hAnsi="宋体"/>
          <w:szCs w:val="21"/>
        </w:rPr>
        <w:t>～</w:t>
      </w:r>
      <w:r>
        <w:rPr>
          <w:szCs w:val="21"/>
        </w:rPr>
        <w:t>3.0</w:t>
      </w:r>
      <w:r>
        <w:rPr>
          <w:rFonts w:hAnsi="宋体"/>
          <w:szCs w:val="21"/>
        </w:rPr>
        <w:t>范围之内，含泥量和泥块含量分别不应大于</w:t>
      </w:r>
      <w:r>
        <w:rPr>
          <w:szCs w:val="21"/>
        </w:rPr>
        <w:t>2.0%</w:t>
      </w:r>
      <w:r>
        <w:rPr>
          <w:rFonts w:hAnsi="宋体"/>
          <w:szCs w:val="21"/>
        </w:rPr>
        <w:t>和</w:t>
      </w:r>
      <w:r>
        <w:rPr>
          <w:szCs w:val="21"/>
        </w:rPr>
        <w:t>0.5%</w:t>
      </w:r>
      <w:r>
        <w:rPr>
          <w:rFonts w:hAnsi="宋体"/>
          <w:szCs w:val="21"/>
        </w:rPr>
        <w:t>。</w:t>
      </w:r>
    </w:p>
    <w:p w14:paraId="7533FF32">
      <w:pPr>
        <w:spacing w:line="300" w:lineRule="auto"/>
        <w:ind w:firstLine="480"/>
        <w:rPr>
          <w:szCs w:val="21"/>
        </w:rPr>
      </w:pPr>
      <w:r>
        <w:rPr>
          <w:szCs w:val="21"/>
        </w:rPr>
        <w:t>4</w:t>
      </w:r>
      <w:r>
        <w:rPr>
          <w:rFonts w:hint="eastAsia"/>
          <w:szCs w:val="21"/>
        </w:rPr>
        <w:t xml:space="preserve"> </w:t>
      </w:r>
      <w:r>
        <w:rPr>
          <w:rFonts w:hAnsi="宋体"/>
          <w:szCs w:val="21"/>
        </w:rPr>
        <w:t>钢筋混凝土和预应力混凝土用砂的氯离子含量分别不应大于</w:t>
      </w:r>
      <w:r>
        <w:rPr>
          <w:szCs w:val="21"/>
        </w:rPr>
        <w:t>0.0</w:t>
      </w:r>
      <w:r>
        <w:rPr>
          <w:color w:val="203864" w:themeColor="accent1" w:themeShade="80"/>
          <w:szCs w:val="21"/>
        </w:rPr>
        <w:t>2</w:t>
      </w:r>
      <w:r>
        <w:rPr>
          <w:szCs w:val="21"/>
        </w:rPr>
        <w:t>%</w:t>
      </w:r>
      <w:r>
        <w:rPr>
          <w:rFonts w:hAnsi="宋体"/>
          <w:szCs w:val="21"/>
        </w:rPr>
        <w:t>和</w:t>
      </w:r>
      <w:r>
        <w:rPr>
          <w:szCs w:val="21"/>
        </w:rPr>
        <w:t>0.0</w:t>
      </w:r>
      <w:r>
        <w:rPr>
          <w:rFonts w:hint="eastAsia"/>
          <w:color w:val="203864" w:themeColor="accent1" w:themeShade="80"/>
          <w:szCs w:val="21"/>
        </w:rPr>
        <w:t>1</w:t>
      </w:r>
      <w:r>
        <w:rPr>
          <w:szCs w:val="21"/>
        </w:rPr>
        <w:t>%</w:t>
      </w:r>
      <w:r>
        <w:rPr>
          <w:rFonts w:hAnsi="宋体"/>
          <w:szCs w:val="21"/>
        </w:rPr>
        <w:t>。</w:t>
      </w:r>
    </w:p>
    <w:p w14:paraId="7533FF33">
      <w:pPr>
        <w:spacing w:line="300" w:lineRule="auto"/>
        <w:ind w:firstLine="480"/>
        <w:rPr>
          <w:szCs w:val="21"/>
        </w:rPr>
      </w:pPr>
      <w:r>
        <w:rPr>
          <w:szCs w:val="21"/>
        </w:rPr>
        <w:t>5</w:t>
      </w:r>
      <w:r>
        <w:rPr>
          <w:rFonts w:hint="eastAsia"/>
          <w:szCs w:val="21"/>
        </w:rPr>
        <w:t xml:space="preserve"> </w:t>
      </w:r>
      <w:r>
        <w:rPr>
          <w:rFonts w:hAnsi="宋体"/>
          <w:szCs w:val="21"/>
        </w:rPr>
        <w:t>混凝土用海砂</w:t>
      </w:r>
      <w:r>
        <w:rPr>
          <w:rFonts w:hint="eastAsia" w:hAnsi="宋体"/>
          <w:szCs w:val="21"/>
        </w:rPr>
        <w:t>应</w:t>
      </w:r>
      <w:r>
        <w:rPr>
          <w:rFonts w:hAnsi="宋体"/>
          <w:szCs w:val="21"/>
        </w:rPr>
        <w:t>经过净化处理。</w:t>
      </w:r>
    </w:p>
    <w:p w14:paraId="7533FF34">
      <w:pPr>
        <w:spacing w:line="300" w:lineRule="auto"/>
        <w:ind w:firstLine="480"/>
        <w:rPr>
          <w:rFonts w:hint="eastAsia" w:hAnsi="宋体"/>
          <w:szCs w:val="21"/>
        </w:rPr>
      </w:pPr>
      <w:r>
        <w:rPr>
          <w:szCs w:val="21"/>
        </w:rPr>
        <w:t>6</w:t>
      </w:r>
      <w:r>
        <w:rPr>
          <w:rFonts w:hint="eastAsia"/>
          <w:szCs w:val="21"/>
        </w:rPr>
        <w:t xml:space="preserve"> 钢筋</w:t>
      </w:r>
      <w:r>
        <w:rPr>
          <w:rFonts w:hAnsi="宋体"/>
          <w:szCs w:val="21"/>
        </w:rPr>
        <w:t>混凝土用海砂氯离子含量不应大于</w:t>
      </w:r>
      <w:r>
        <w:rPr>
          <w:szCs w:val="21"/>
        </w:rPr>
        <w:t>0.0</w:t>
      </w:r>
      <w:r>
        <w:rPr>
          <w:rFonts w:hint="eastAsia"/>
          <w:color w:val="203864" w:themeColor="accent1" w:themeShade="80"/>
          <w:szCs w:val="21"/>
        </w:rPr>
        <w:t>2</w:t>
      </w:r>
      <w:r>
        <w:rPr>
          <w:szCs w:val="21"/>
        </w:rPr>
        <w:t>%</w:t>
      </w:r>
      <w:r>
        <w:rPr>
          <w:rFonts w:hAnsi="宋体"/>
          <w:szCs w:val="21"/>
        </w:rPr>
        <w:t>，贝壳含量应符合表</w:t>
      </w:r>
      <w:r>
        <w:rPr>
          <w:szCs w:val="21"/>
        </w:rPr>
        <w:t>2.3.3</w:t>
      </w:r>
      <w:r>
        <w:rPr>
          <w:rFonts w:hAnsi="宋体"/>
          <w:szCs w:val="21"/>
        </w:rPr>
        <w:t>的规定。海砂不得用于预应力混凝土。</w:t>
      </w:r>
    </w:p>
    <w:p w14:paraId="7533FF35">
      <w:pPr>
        <w:topLinePunct/>
        <w:adjustRightInd w:val="0"/>
        <w:spacing w:before="156" w:beforeLines="50"/>
        <w:jc w:val="center"/>
        <w:rPr>
          <w:rFonts w:hint="eastAsia" w:ascii="黑体" w:hAnsi="宋体" w:eastAsia="黑体"/>
          <w:sz w:val="18"/>
          <w:szCs w:val="18"/>
        </w:rPr>
      </w:pPr>
      <w:r>
        <w:rPr>
          <w:rFonts w:hint="eastAsia" w:ascii="黑体" w:hAnsi="宋体" w:eastAsia="黑体"/>
          <w:sz w:val="18"/>
          <w:szCs w:val="18"/>
        </w:rPr>
        <w:t>表</w:t>
      </w:r>
      <w:r>
        <w:rPr>
          <w:rFonts w:hint="eastAsia" w:ascii="黑体" w:eastAsia="黑体"/>
          <w:sz w:val="18"/>
          <w:szCs w:val="18"/>
        </w:rPr>
        <w:t xml:space="preserve">2.3.3  </w:t>
      </w:r>
      <w:r>
        <w:rPr>
          <w:rFonts w:hint="eastAsia" w:ascii="黑体" w:hAnsi="宋体" w:eastAsia="黑体"/>
          <w:sz w:val="18"/>
          <w:szCs w:val="18"/>
        </w:rPr>
        <w:t>混凝土用海砂的贝壳含量（按质量计，%）</w:t>
      </w:r>
    </w:p>
    <w:tbl>
      <w:tblPr>
        <w:tblStyle w:val="16"/>
        <w:tblW w:w="32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85" w:type="dxa"/>
          <w:right w:w="108" w:type="dxa"/>
        </w:tblCellMar>
      </w:tblPr>
      <w:tblGrid>
        <w:gridCol w:w="2628"/>
        <w:gridCol w:w="1547"/>
        <w:gridCol w:w="1395"/>
      </w:tblGrid>
      <w:tr w14:paraId="7533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40" w:hRule="exact"/>
          <w:jc w:val="center"/>
        </w:trPr>
        <w:tc>
          <w:tcPr>
            <w:tcW w:w="2358" w:type="pct"/>
            <w:vAlign w:val="center"/>
          </w:tcPr>
          <w:p w14:paraId="7533FF36">
            <w:pPr>
              <w:pStyle w:val="25"/>
              <w:wordWrap/>
              <w:spacing w:line="240" w:lineRule="auto"/>
              <w:jc w:val="center"/>
              <w:outlineLvl w:val="2"/>
              <w:rPr>
                <w:sz w:val="18"/>
                <w:szCs w:val="18"/>
              </w:rPr>
            </w:pPr>
            <w:r>
              <w:rPr>
                <w:rFonts w:hAnsi="宋体"/>
                <w:sz w:val="18"/>
                <w:szCs w:val="18"/>
              </w:rPr>
              <w:t>混凝土强度等级</w:t>
            </w:r>
          </w:p>
        </w:tc>
        <w:tc>
          <w:tcPr>
            <w:tcW w:w="1388" w:type="pct"/>
            <w:vAlign w:val="center"/>
          </w:tcPr>
          <w:p w14:paraId="7533FF37">
            <w:pPr>
              <w:pStyle w:val="25"/>
              <w:wordWrap/>
              <w:spacing w:line="240" w:lineRule="auto"/>
              <w:jc w:val="center"/>
              <w:outlineLvl w:val="2"/>
              <w:rPr>
                <w:sz w:val="18"/>
                <w:szCs w:val="18"/>
              </w:rPr>
            </w:pPr>
            <w:r>
              <w:rPr>
                <w:sz w:val="18"/>
                <w:szCs w:val="18"/>
              </w:rPr>
              <w:t>≥C60</w:t>
            </w:r>
          </w:p>
        </w:tc>
        <w:tc>
          <w:tcPr>
            <w:tcW w:w="1252" w:type="pct"/>
            <w:vAlign w:val="center"/>
          </w:tcPr>
          <w:p w14:paraId="7533FF38">
            <w:pPr>
              <w:pStyle w:val="25"/>
              <w:wordWrap/>
              <w:spacing w:line="240" w:lineRule="auto"/>
              <w:jc w:val="center"/>
              <w:outlineLvl w:val="2"/>
              <w:rPr>
                <w:sz w:val="18"/>
                <w:szCs w:val="18"/>
              </w:rPr>
            </w:pPr>
            <w:r>
              <w:rPr>
                <w:rFonts w:hint="eastAsia"/>
                <w:sz w:val="18"/>
                <w:szCs w:val="18"/>
              </w:rPr>
              <w:t>＜C60</w:t>
            </w:r>
          </w:p>
        </w:tc>
      </w:tr>
      <w:tr w14:paraId="7533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40" w:hRule="exact"/>
          <w:jc w:val="center"/>
        </w:trPr>
        <w:tc>
          <w:tcPr>
            <w:tcW w:w="2358" w:type="pct"/>
            <w:vAlign w:val="center"/>
          </w:tcPr>
          <w:p w14:paraId="7533FF3A">
            <w:pPr>
              <w:pStyle w:val="25"/>
              <w:wordWrap/>
              <w:spacing w:line="240" w:lineRule="auto"/>
              <w:jc w:val="center"/>
              <w:outlineLvl w:val="2"/>
              <w:rPr>
                <w:sz w:val="18"/>
                <w:szCs w:val="18"/>
              </w:rPr>
            </w:pPr>
            <w:r>
              <w:rPr>
                <w:rFonts w:hAnsi="宋体"/>
                <w:sz w:val="18"/>
                <w:szCs w:val="18"/>
              </w:rPr>
              <w:t>贝壳含量</w:t>
            </w:r>
          </w:p>
        </w:tc>
        <w:tc>
          <w:tcPr>
            <w:tcW w:w="1388" w:type="pct"/>
            <w:vAlign w:val="center"/>
          </w:tcPr>
          <w:p w14:paraId="7533FF3B">
            <w:pPr>
              <w:pStyle w:val="25"/>
              <w:wordWrap/>
              <w:spacing w:line="240" w:lineRule="auto"/>
              <w:jc w:val="center"/>
              <w:outlineLvl w:val="2"/>
              <w:rPr>
                <w:sz w:val="18"/>
                <w:szCs w:val="18"/>
              </w:rPr>
            </w:pPr>
            <w:r>
              <w:rPr>
                <w:sz w:val="18"/>
                <w:szCs w:val="18"/>
              </w:rPr>
              <w:t>≤3</w:t>
            </w:r>
            <w:r>
              <w:rPr>
                <w:rFonts w:hint="eastAsia"/>
                <w:sz w:val="18"/>
                <w:szCs w:val="18"/>
              </w:rPr>
              <w:t>.0</w:t>
            </w:r>
          </w:p>
        </w:tc>
        <w:tc>
          <w:tcPr>
            <w:tcW w:w="1252" w:type="pct"/>
            <w:vAlign w:val="center"/>
          </w:tcPr>
          <w:p w14:paraId="7533FF3C">
            <w:pPr>
              <w:pStyle w:val="25"/>
              <w:wordWrap/>
              <w:spacing w:line="240" w:lineRule="auto"/>
              <w:jc w:val="center"/>
              <w:outlineLvl w:val="2"/>
              <w:rPr>
                <w:sz w:val="18"/>
                <w:szCs w:val="18"/>
              </w:rPr>
            </w:pPr>
            <w:r>
              <w:rPr>
                <w:rFonts w:hint="eastAsia"/>
                <w:sz w:val="18"/>
                <w:szCs w:val="18"/>
              </w:rPr>
              <w:t>≤8.0</w:t>
            </w:r>
          </w:p>
        </w:tc>
      </w:tr>
    </w:tbl>
    <w:p w14:paraId="7533FF3E">
      <w:pPr>
        <w:spacing w:line="300" w:lineRule="auto"/>
        <w:ind w:firstLine="482"/>
        <w:rPr>
          <w:szCs w:val="21"/>
        </w:rPr>
      </w:pPr>
      <w:r>
        <w:rPr>
          <w:szCs w:val="21"/>
        </w:rPr>
        <w:t>7</w:t>
      </w:r>
      <w:r>
        <w:rPr>
          <w:rFonts w:hint="eastAsia"/>
          <w:szCs w:val="21"/>
        </w:rPr>
        <w:t xml:space="preserve"> </w:t>
      </w:r>
      <w:r>
        <w:rPr>
          <w:rFonts w:hint="eastAsia"/>
        </w:rPr>
        <w:t>机制砂应按石粉的亚甲蓝指标和石粉的流动比指标控制石粉含量，并应符合现行行业标准《高性能混凝土用骨料》JG/T 568的规定。</w:t>
      </w:r>
    </w:p>
    <w:p w14:paraId="7533FF3F">
      <w:pPr>
        <w:spacing w:line="300" w:lineRule="auto"/>
        <w:ind w:firstLine="482"/>
        <w:rPr>
          <w:szCs w:val="21"/>
        </w:rPr>
      </w:pPr>
      <w:r>
        <w:rPr>
          <w:szCs w:val="21"/>
        </w:rPr>
        <w:t>8</w:t>
      </w:r>
      <w:r>
        <w:rPr>
          <w:rFonts w:hint="eastAsia"/>
          <w:szCs w:val="21"/>
        </w:rPr>
        <w:t xml:space="preserve"> </w:t>
      </w:r>
      <w:r>
        <w:rPr>
          <w:rFonts w:hAnsi="宋体"/>
          <w:szCs w:val="21"/>
        </w:rPr>
        <w:t>不宜单独采用特细砂作为细骨料配制混凝土。</w:t>
      </w:r>
    </w:p>
    <w:p w14:paraId="7533FF40">
      <w:pPr>
        <w:spacing w:line="300" w:lineRule="auto"/>
        <w:ind w:firstLine="482"/>
        <w:rPr>
          <w:szCs w:val="21"/>
        </w:rPr>
      </w:pPr>
      <w:r>
        <w:rPr>
          <w:szCs w:val="21"/>
        </w:rPr>
        <w:t>9</w:t>
      </w:r>
      <w:r>
        <w:rPr>
          <w:rFonts w:hint="eastAsia"/>
          <w:szCs w:val="21"/>
        </w:rPr>
        <w:t xml:space="preserve"> </w:t>
      </w:r>
      <w:r>
        <w:rPr>
          <w:rFonts w:hAnsi="宋体"/>
          <w:szCs w:val="21"/>
        </w:rPr>
        <w:t>河砂和海砂应进行碱</w:t>
      </w:r>
      <w:r>
        <w:rPr>
          <w:rFonts w:ascii="宋体" w:hAnsi="宋体" w:cs="宋体"/>
          <w:szCs w:val="21"/>
        </w:rPr>
        <w:t>-</w:t>
      </w:r>
      <w:r>
        <w:rPr>
          <w:rFonts w:hAnsi="宋体"/>
          <w:szCs w:val="21"/>
        </w:rPr>
        <w:t>硅酸</w:t>
      </w:r>
      <w:r>
        <w:rPr>
          <w:rFonts w:hint="eastAsia" w:hAnsi="宋体"/>
          <w:szCs w:val="21"/>
        </w:rPr>
        <w:t>反应</w:t>
      </w:r>
      <w:r>
        <w:rPr>
          <w:rFonts w:hAnsi="宋体"/>
          <w:szCs w:val="21"/>
        </w:rPr>
        <w:t>活性检验；人工砂应进行碱</w:t>
      </w:r>
      <w:r>
        <w:rPr>
          <w:rFonts w:ascii="宋体" w:hAnsi="宋体" w:cs="宋体"/>
          <w:szCs w:val="21"/>
        </w:rPr>
        <w:t>-</w:t>
      </w:r>
      <w:r>
        <w:rPr>
          <w:rFonts w:hAnsi="宋体"/>
          <w:szCs w:val="21"/>
        </w:rPr>
        <w:t>硅酸</w:t>
      </w:r>
      <w:r>
        <w:rPr>
          <w:rFonts w:hint="eastAsia" w:hAnsi="宋体"/>
          <w:szCs w:val="21"/>
        </w:rPr>
        <w:t>反应</w:t>
      </w:r>
      <w:r>
        <w:rPr>
          <w:rFonts w:hAnsi="宋体"/>
          <w:szCs w:val="21"/>
        </w:rPr>
        <w:t>活性检验和碱</w:t>
      </w:r>
      <w:r>
        <w:rPr>
          <w:rFonts w:ascii="宋体" w:hAnsi="宋体" w:cs="宋体"/>
          <w:szCs w:val="21"/>
        </w:rPr>
        <w:t>-</w:t>
      </w:r>
      <w:r>
        <w:rPr>
          <w:rFonts w:hAnsi="宋体"/>
          <w:szCs w:val="21"/>
        </w:rPr>
        <w:t>碳酸盐</w:t>
      </w:r>
      <w:r>
        <w:rPr>
          <w:rFonts w:hint="eastAsia" w:hAnsi="宋体"/>
          <w:szCs w:val="21"/>
        </w:rPr>
        <w:t>反应</w:t>
      </w:r>
      <w:r>
        <w:rPr>
          <w:rFonts w:hAnsi="宋体"/>
          <w:szCs w:val="21"/>
        </w:rPr>
        <w:t>活性检验；对于有预防混凝土碱</w:t>
      </w:r>
      <w:r>
        <w:rPr>
          <w:rFonts w:hint="eastAsia" w:ascii="宋体" w:hAnsi="宋体" w:cs="宋体"/>
          <w:szCs w:val="21"/>
        </w:rPr>
        <w:t>-</w:t>
      </w:r>
      <w:r>
        <w:rPr>
          <w:rFonts w:hAnsi="宋体"/>
          <w:szCs w:val="21"/>
        </w:rPr>
        <w:t>骨料反应要求的工程，不宜采用有碱活性的砂。</w:t>
      </w:r>
    </w:p>
    <w:p w14:paraId="7533FF41">
      <w:pPr>
        <w:spacing w:before="312" w:beforeLines="100" w:after="312" w:afterLines="100" w:line="300" w:lineRule="auto"/>
        <w:jc w:val="center"/>
        <w:outlineLvl w:val="1"/>
        <w:rPr>
          <w:bCs/>
          <w:sz w:val="24"/>
        </w:rPr>
      </w:pPr>
      <w:bookmarkStart w:id="38" w:name="_Toc269885288"/>
      <w:bookmarkStart w:id="39" w:name="_Toc268120029"/>
      <w:bookmarkStart w:id="40" w:name="_Toc201943552"/>
      <w:bookmarkStart w:id="41" w:name="_Toc268678423"/>
      <w:bookmarkStart w:id="42" w:name="_Toc275249806"/>
      <w:bookmarkStart w:id="43" w:name="_Toc268120155"/>
      <w:r>
        <w:rPr>
          <w:bCs/>
          <w:sz w:val="24"/>
        </w:rPr>
        <w:t xml:space="preserve">2.4 </w:t>
      </w:r>
      <w:r>
        <w:rPr>
          <w:rFonts w:hint="eastAsia"/>
          <w:bCs/>
          <w:sz w:val="24"/>
        </w:rPr>
        <w:t xml:space="preserve"> </w:t>
      </w:r>
      <w:r>
        <w:rPr>
          <w:rFonts w:hAnsi="宋体"/>
          <w:bCs/>
          <w:sz w:val="24"/>
        </w:rPr>
        <w:t>矿物掺合料</w:t>
      </w:r>
      <w:bookmarkEnd w:id="38"/>
      <w:bookmarkEnd w:id="39"/>
      <w:bookmarkEnd w:id="40"/>
      <w:bookmarkEnd w:id="41"/>
      <w:bookmarkEnd w:id="42"/>
      <w:bookmarkEnd w:id="43"/>
    </w:p>
    <w:p w14:paraId="7533FF42">
      <w:pPr>
        <w:widowControl/>
        <w:spacing w:line="300" w:lineRule="auto"/>
        <w:rPr>
          <w:szCs w:val="21"/>
        </w:rPr>
      </w:pPr>
      <w:r>
        <w:rPr>
          <w:b/>
          <w:szCs w:val="21"/>
        </w:rPr>
        <w:t xml:space="preserve">2.4.1 </w:t>
      </w:r>
      <w:r>
        <w:rPr>
          <w:szCs w:val="21"/>
        </w:rPr>
        <w:t xml:space="preserve"> </w:t>
      </w:r>
      <w:r>
        <w:rPr>
          <w:rFonts w:hAnsi="宋体"/>
          <w:color w:val="000000" w:themeColor="text1"/>
          <w:szCs w:val="21"/>
          <w14:textFill>
            <w14:solidFill>
              <w14:schemeClr w14:val="tx1"/>
            </w14:solidFill>
          </w14:textFill>
        </w:rPr>
        <w:t>用于混凝土中的矿物掺合料可包括粉煤灰、粒化高炉矿渣粉、硅灰、</w:t>
      </w:r>
      <w:r>
        <w:rPr>
          <w:rFonts w:hint="eastAsia" w:hAnsi="宋体"/>
          <w:color w:val="000000" w:themeColor="text1"/>
          <w:szCs w:val="21"/>
          <w14:textFill>
            <w14:solidFill>
              <w14:schemeClr w14:val="tx1"/>
            </w14:solidFill>
          </w14:textFill>
        </w:rPr>
        <w:t>石灰石粉、天然火山灰质材料、天然沸石粉、</w:t>
      </w:r>
      <w:r>
        <w:rPr>
          <w:rFonts w:hAnsi="宋体"/>
          <w:color w:val="000000" w:themeColor="text1"/>
          <w:szCs w:val="21"/>
          <w14:textFill>
            <w14:solidFill>
              <w14:schemeClr w14:val="tx1"/>
            </w14:solidFill>
          </w14:textFill>
        </w:rPr>
        <w:t>钢渣粉、磷渣粉</w:t>
      </w:r>
      <w:r>
        <w:rPr>
          <w:rFonts w:hint="eastAsia" w:hAnsi="宋体"/>
          <w:color w:val="000000" w:themeColor="text1"/>
          <w:szCs w:val="21"/>
          <w14:textFill>
            <w14:solidFill>
              <w14:schemeClr w14:val="tx1"/>
            </w14:solidFill>
          </w14:textFill>
        </w:rPr>
        <w:t>、复合掺合料</w:t>
      </w:r>
      <w:r>
        <w:rPr>
          <w:rFonts w:hAnsi="宋体"/>
          <w:color w:val="000000" w:themeColor="text1"/>
          <w:szCs w:val="21"/>
          <w14:textFill>
            <w14:solidFill>
              <w14:schemeClr w14:val="tx1"/>
            </w14:solidFill>
          </w14:textFill>
        </w:rPr>
        <w:t>；可采用两种或两种以上的矿物掺合料按一定比例混合使用。粉煤灰应符合现行国家标准《用于水泥和混凝土中的粉煤灰》</w:t>
      </w:r>
      <w:r>
        <w:rPr>
          <w:color w:val="000000" w:themeColor="text1"/>
          <w:szCs w:val="21"/>
          <w14:textFill>
            <w14:solidFill>
              <w14:schemeClr w14:val="tx1"/>
            </w14:solidFill>
          </w14:textFill>
        </w:rPr>
        <w:t>GB/T 1596</w:t>
      </w:r>
      <w:r>
        <w:rPr>
          <w:rFonts w:hint="eastAsia"/>
          <w:color w:val="000000" w:themeColor="text1"/>
          <w14:textFill>
            <w14:solidFill>
              <w14:schemeClr w14:val="tx1"/>
            </w14:solidFill>
          </w14:textFill>
        </w:rPr>
        <w:t>和《粉煤灰中铵离子含量的限量及检验方法》GB/T 39701</w:t>
      </w:r>
      <w:r>
        <w:rPr>
          <w:rFonts w:hAnsi="宋体"/>
          <w:color w:val="000000" w:themeColor="text1"/>
          <w:szCs w:val="21"/>
          <w14:textFill>
            <w14:solidFill>
              <w14:schemeClr w14:val="tx1"/>
            </w14:solidFill>
          </w14:textFill>
        </w:rPr>
        <w:t>的</w:t>
      </w:r>
      <w:r>
        <w:rPr>
          <w:rFonts w:hint="eastAsia" w:hAnsi="宋体"/>
          <w:color w:val="000000" w:themeColor="text1"/>
          <w:szCs w:val="21"/>
          <w14:textFill>
            <w14:solidFill>
              <w14:schemeClr w14:val="tx1"/>
            </w14:solidFill>
          </w14:textFill>
        </w:rPr>
        <w:t>有关</w:t>
      </w:r>
      <w:r>
        <w:rPr>
          <w:rFonts w:hAnsi="宋体"/>
          <w:color w:val="000000" w:themeColor="text1"/>
          <w:szCs w:val="21"/>
          <w14:textFill>
            <w14:solidFill>
              <w14:schemeClr w14:val="tx1"/>
            </w14:solidFill>
          </w14:textFill>
        </w:rPr>
        <w:t>规定，粒化高炉矿渣粉应符合现行国家标准《用于水泥</w:t>
      </w:r>
      <w:r>
        <w:rPr>
          <w:rFonts w:hint="eastAsia" w:hAnsi="宋体"/>
          <w:color w:val="000000" w:themeColor="text1"/>
          <w:szCs w:val="21"/>
          <w14:textFill>
            <w14:solidFill>
              <w14:schemeClr w14:val="tx1"/>
            </w14:solidFill>
          </w14:textFill>
        </w:rPr>
        <w:t>、砂浆</w:t>
      </w:r>
      <w:r>
        <w:rPr>
          <w:rFonts w:hAnsi="宋体"/>
          <w:color w:val="000000" w:themeColor="text1"/>
          <w:szCs w:val="21"/>
          <w14:textFill>
            <w14:solidFill>
              <w14:schemeClr w14:val="tx1"/>
            </w14:solidFill>
          </w14:textFill>
        </w:rPr>
        <w:t>和混凝土中的粒化高炉矿渣粉》</w:t>
      </w:r>
      <w:r>
        <w:rPr>
          <w:color w:val="000000" w:themeColor="text1"/>
          <w:szCs w:val="21"/>
          <w14:textFill>
            <w14:solidFill>
              <w14:schemeClr w14:val="tx1"/>
            </w14:solidFill>
          </w14:textFill>
        </w:rPr>
        <w:t>GB/T 18046</w:t>
      </w:r>
      <w:r>
        <w:rPr>
          <w:rFonts w:hAnsi="宋体"/>
          <w:color w:val="000000" w:themeColor="text1"/>
          <w:szCs w:val="21"/>
          <w14:textFill>
            <w14:solidFill>
              <w14:schemeClr w14:val="tx1"/>
            </w14:solidFill>
          </w14:textFill>
        </w:rPr>
        <w:t>的</w:t>
      </w:r>
      <w:r>
        <w:rPr>
          <w:rFonts w:hint="eastAsia" w:hAnsi="宋体"/>
          <w:color w:val="000000" w:themeColor="text1"/>
          <w:szCs w:val="21"/>
          <w14:textFill>
            <w14:solidFill>
              <w14:schemeClr w14:val="tx1"/>
            </w14:solidFill>
          </w14:textFill>
        </w:rPr>
        <w:t>有关</w:t>
      </w:r>
      <w:r>
        <w:rPr>
          <w:rFonts w:hAnsi="宋体"/>
          <w:color w:val="000000" w:themeColor="text1"/>
          <w:szCs w:val="21"/>
          <w14:textFill>
            <w14:solidFill>
              <w14:schemeClr w14:val="tx1"/>
            </w14:solidFill>
          </w14:textFill>
        </w:rPr>
        <w:t>规定，</w:t>
      </w:r>
      <w:r>
        <w:rPr>
          <w:rFonts w:hint="eastAsia" w:hAnsi="宋体"/>
          <w:color w:val="000000" w:themeColor="text1"/>
          <w:szCs w:val="21"/>
          <w14:textFill>
            <w14:solidFill>
              <w14:schemeClr w14:val="tx1"/>
            </w14:solidFill>
          </w14:textFill>
        </w:rPr>
        <w:t>硅灰应符合现行国家标准《</w:t>
      </w:r>
      <w:r>
        <w:rPr>
          <w:rFonts w:hint="eastAsia"/>
          <w:color w:val="000000" w:themeColor="text1"/>
          <w:szCs w:val="21"/>
          <w14:textFill>
            <w14:solidFill>
              <w14:schemeClr w14:val="tx1"/>
            </w14:solidFill>
          </w14:textFill>
        </w:rPr>
        <w:t>砂浆和混凝土用硅灰</w:t>
      </w:r>
      <w:r>
        <w:rPr>
          <w:rFonts w:hint="eastAsia" w:hAnsi="宋体"/>
          <w:color w:val="000000" w:themeColor="text1"/>
          <w:szCs w:val="21"/>
          <w14:textFill>
            <w14:solidFill>
              <w14:schemeClr w14:val="tx1"/>
            </w14:solidFill>
          </w14:textFill>
        </w:rPr>
        <w:t>》</w:t>
      </w:r>
      <w:r>
        <w:rPr>
          <w:color w:val="000000" w:themeColor="text1"/>
          <w:szCs w:val="21"/>
          <w14:textFill>
            <w14:solidFill>
              <w14:schemeClr w14:val="tx1"/>
            </w14:solidFill>
          </w14:textFill>
        </w:rPr>
        <w:t xml:space="preserve">GB/T </w:t>
      </w:r>
      <w:r>
        <w:rPr>
          <w:rFonts w:hint="eastAsia"/>
          <w:color w:val="000000" w:themeColor="text1"/>
          <w:szCs w:val="21"/>
          <w14:textFill>
            <w14:solidFill>
              <w14:schemeClr w14:val="tx1"/>
            </w14:solidFill>
          </w14:textFill>
        </w:rPr>
        <w:t>27690</w:t>
      </w:r>
      <w:r>
        <w:rPr>
          <w:rFonts w:hint="eastAsia" w:hAnsi="宋体"/>
          <w:color w:val="000000" w:themeColor="text1"/>
          <w:szCs w:val="21"/>
          <w14:textFill>
            <w14:solidFill>
              <w14:schemeClr w14:val="tx1"/>
            </w14:solidFill>
          </w14:textFill>
        </w:rPr>
        <w:t>的有关规定，</w:t>
      </w:r>
      <w:r>
        <w:rPr>
          <w:rFonts w:hint="eastAsia"/>
          <w:color w:val="000000" w:themeColor="text1"/>
          <w14:textFill>
            <w14:solidFill>
              <w14:schemeClr w14:val="tx1"/>
            </w14:solidFill>
          </w14:textFill>
        </w:rPr>
        <w:t>石灰石粉应符合</w:t>
      </w:r>
      <w:r>
        <w:rPr>
          <w:rFonts w:hAnsi="宋体"/>
          <w:color w:val="000000" w:themeColor="text1"/>
          <w:szCs w:val="21"/>
          <w14:textFill>
            <w14:solidFill>
              <w14:schemeClr w14:val="tx1"/>
            </w14:solidFill>
          </w14:textFill>
        </w:rPr>
        <w:t>现行国家标准</w:t>
      </w:r>
      <w:r>
        <w:rPr>
          <w:rFonts w:hint="eastAsia"/>
          <w:color w:val="000000" w:themeColor="text1"/>
          <w14:textFill>
            <w14:solidFill>
              <w14:schemeClr w14:val="tx1"/>
            </w14:solidFill>
          </w14:textFill>
        </w:rPr>
        <w:t>《</w:t>
      </w:r>
      <w:r>
        <w:rPr>
          <w:rFonts w:hint="eastAsia"/>
          <w:color w:val="000000" w:themeColor="text1"/>
          <w:szCs w:val="18"/>
          <w14:textFill>
            <w14:solidFill>
              <w14:schemeClr w14:val="tx1"/>
            </w14:solidFill>
          </w14:textFill>
        </w:rPr>
        <w:t>石灰石粉混凝土</w:t>
      </w:r>
      <w:r>
        <w:rPr>
          <w:rFonts w:hint="eastAsia"/>
          <w:color w:val="000000" w:themeColor="text1"/>
          <w14:textFill>
            <w14:solidFill>
              <w14:schemeClr w14:val="tx1"/>
            </w14:solidFill>
          </w14:textFill>
        </w:rPr>
        <w:t>》GB/T 30190的规定，天然火山灰质材料应符合现行行业标准《水泥砂浆和混凝土用天然火山灰质材料》JG/T 315的规定，天然沸石粉应符合</w:t>
      </w:r>
      <w:r>
        <w:rPr>
          <w:rFonts w:hAnsi="宋体"/>
          <w:color w:val="000000" w:themeColor="text1"/>
          <w:szCs w:val="21"/>
          <w14:textFill>
            <w14:solidFill>
              <w14:schemeClr w14:val="tx1"/>
            </w14:solidFill>
          </w14:textFill>
        </w:rPr>
        <w:t>现行</w:t>
      </w:r>
      <w:r>
        <w:rPr>
          <w:rFonts w:hint="eastAsia" w:hAnsi="宋体"/>
          <w:color w:val="000000" w:themeColor="text1"/>
          <w:szCs w:val="21"/>
          <w14:textFill>
            <w14:solidFill>
              <w14:schemeClr w14:val="tx1"/>
            </w14:solidFill>
          </w14:textFill>
        </w:rPr>
        <w:t>行业</w:t>
      </w:r>
      <w:r>
        <w:rPr>
          <w:rFonts w:hAnsi="宋体"/>
          <w:color w:val="000000" w:themeColor="text1"/>
          <w:szCs w:val="21"/>
          <w14:textFill>
            <w14:solidFill>
              <w14:schemeClr w14:val="tx1"/>
            </w14:solidFill>
          </w14:textFill>
        </w:rPr>
        <w:t>标准</w:t>
      </w:r>
      <w:r>
        <w:rPr>
          <w:rFonts w:hint="eastAsia"/>
          <w:color w:val="000000" w:themeColor="text1"/>
          <w14:textFill>
            <w14:solidFill>
              <w14:schemeClr w14:val="tx1"/>
            </w14:solidFill>
          </w14:textFill>
        </w:rPr>
        <w:t>《混凝土和砂浆用天然沸石粉》JG/T 566的规定，</w:t>
      </w:r>
      <w:r>
        <w:rPr>
          <w:rFonts w:hAnsi="宋体"/>
          <w:color w:val="000000" w:themeColor="text1"/>
          <w:szCs w:val="21"/>
          <w14:textFill>
            <w14:solidFill>
              <w14:schemeClr w14:val="tx1"/>
            </w14:solidFill>
          </w14:textFill>
        </w:rPr>
        <w:t>钢渣粉应符合现行国家标准《用于水泥和混凝土中的钢渣粉》</w:t>
      </w:r>
      <w:r>
        <w:rPr>
          <w:color w:val="000000" w:themeColor="text1"/>
          <w:szCs w:val="21"/>
          <w14:textFill>
            <w14:solidFill>
              <w14:schemeClr w14:val="tx1"/>
            </w14:solidFill>
          </w14:textFill>
        </w:rPr>
        <w:t>GB/T 20491</w:t>
      </w:r>
      <w:r>
        <w:rPr>
          <w:rFonts w:hAnsi="宋体"/>
          <w:color w:val="000000" w:themeColor="text1"/>
          <w:szCs w:val="21"/>
          <w14:textFill>
            <w14:solidFill>
              <w14:schemeClr w14:val="tx1"/>
            </w14:solidFill>
          </w14:textFill>
        </w:rPr>
        <w:t>的</w:t>
      </w:r>
      <w:r>
        <w:rPr>
          <w:rFonts w:hint="eastAsia" w:hAnsi="宋体"/>
          <w:color w:val="000000" w:themeColor="text1"/>
          <w:szCs w:val="21"/>
          <w14:textFill>
            <w14:solidFill>
              <w14:schemeClr w14:val="tx1"/>
            </w14:solidFill>
          </w14:textFill>
        </w:rPr>
        <w:t>有关</w:t>
      </w:r>
      <w:r>
        <w:rPr>
          <w:rFonts w:hAnsi="宋体"/>
          <w:color w:val="000000" w:themeColor="text1"/>
          <w:szCs w:val="21"/>
          <w14:textFill>
            <w14:solidFill>
              <w14:schemeClr w14:val="tx1"/>
            </w14:solidFill>
          </w14:textFill>
        </w:rPr>
        <w:t>规定</w:t>
      </w:r>
      <w:r>
        <w:fldChar w:fldCharType="begin"/>
      </w:r>
      <w:r>
        <w:instrText xml:space="preserve"> HYPERLINK "http://www.baidu.com/link?url=H0a9JQVMHBDAJvY8Tw8u21QgvdEINP4Pe4L-EJEwIMwtTT5zbgJ5eTZ1y-ltQA1D3GtSoksbEO59_kn-9h5JBwar1Di7eOlhWaDn3BkkukzKrjPwSPfQq0rFAo73ix-E" \t "https://www.baidu.com/_blank" </w:instrText>
      </w:r>
      <w:r>
        <w:fldChar w:fldCharType="separate"/>
      </w:r>
      <w:r>
        <w:rPr>
          <w:rFonts w:hint="eastAsia"/>
          <w:color w:val="000000" w:themeColor="text1"/>
          <w14:textFill>
            <w14:solidFill>
              <w14:schemeClr w14:val="tx1"/>
            </w14:solidFill>
          </w14:textFill>
        </w:rPr>
        <w:t>，磷渣粉应符合现行行业标准《</w:t>
      </w:r>
      <w:r>
        <w:rPr>
          <w:color w:val="000000" w:themeColor="text1"/>
          <w14:textFill>
            <w14:solidFill>
              <w14:schemeClr w14:val="tx1"/>
            </w14:solidFill>
          </w14:textFill>
        </w:rPr>
        <w:t>混凝土用粒化电炉磷渣粉</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JG/T317</w:t>
      </w:r>
      <w:r>
        <w:rPr>
          <w:rFonts w:hint="eastAsia"/>
          <w:color w:val="000000" w:themeColor="text1"/>
          <w14:textFill>
            <w14:solidFill>
              <w14:schemeClr w14:val="tx1"/>
            </w14:solidFill>
          </w14:textFill>
        </w:rPr>
        <w:t>的</w:t>
      </w:r>
      <w:r>
        <w:rPr>
          <w:rFonts w:hint="eastAsia"/>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有关规定，复合掺合料应符合现行行业标准《混凝土用复合掺合料》JG/T 486的规定，</w:t>
      </w:r>
      <w:r>
        <w:rPr>
          <w:rFonts w:hAnsi="宋体"/>
          <w:color w:val="000000" w:themeColor="text1"/>
          <w:szCs w:val="21"/>
          <w14:textFill>
            <w14:solidFill>
              <w14:schemeClr w14:val="tx1"/>
            </w14:solidFill>
          </w14:textFill>
        </w:rPr>
        <w:t>其他矿物掺合料应符合相关现行国家标准的规定并满足混凝土性能要求；矿物掺合料的放射性应符合现行国家标准《建筑材料放射性核素限量》</w:t>
      </w:r>
      <w:r>
        <w:rPr>
          <w:color w:val="000000" w:themeColor="text1"/>
          <w:szCs w:val="21"/>
          <w14:textFill>
            <w14:solidFill>
              <w14:schemeClr w14:val="tx1"/>
            </w14:solidFill>
          </w14:textFill>
        </w:rPr>
        <w:t>GB 6566</w:t>
      </w:r>
      <w:r>
        <w:rPr>
          <w:rFonts w:hAnsi="宋体"/>
          <w:color w:val="000000" w:themeColor="text1"/>
          <w:szCs w:val="21"/>
          <w14:textFill>
            <w14:solidFill>
              <w14:schemeClr w14:val="tx1"/>
            </w14:solidFill>
          </w14:textFill>
        </w:rPr>
        <w:t>的</w:t>
      </w:r>
      <w:r>
        <w:rPr>
          <w:rFonts w:hint="eastAsia" w:hAnsi="宋体"/>
          <w:color w:val="000000" w:themeColor="text1"/>
          <w:szCs w:val="21"/>
          <w14:textFill>
            <w14:solidFill>
              <w14:schemeClr w14:val="tx1"/>
            </w14:solidFill>
          </w14:textFill>
        </w:rPr>
        <w:t>有关</w:t>
      </w:r>
      <w:r>
        <w:rPr>
          <w:rFonts w:hAnsi="宋体"/>
          <w:color w:val="000000" w:themeColor="text1"/>
          <w:szCs w:val="21"/>
          <w14:textFill>
            <w14:solidFill>
              <w14:schemeClr w14:val="tx1"/>
            </w14:solidFill>
          </w14:textFill>
        </w:rPr>
        <w:t>规定。</w:t>
      </w:r>
    </w:p>
    <w:p w14:paraId="7533FF43">
      <w:pPr>
        <w:spacing w:line="300" w:lineRule="auto"/>
        <w:rPr>
          <w:szCs w:val="21"/>
        </w:rPr>
      </w:pPr>
      <w:r>
        <w:rPr>
          <w:b/>
          <w:szCs w:val="21"/>
        </w:rPr>
        <w:t xml:space="preserve">2.4.2 </w:t>
      </w:r>
      <w:r>
        <w:rPr>
          <w:szCs w:val="21"/>
        </w:rPr>
        <w:t xml:space="preserve"> </w:t>
      </w:r>
      <w:r>
        <w:rPr>
          <w:rFonts w:hAnsi="宋体"/>
          <w:szCs w:val="21"/>
        </w:rPr>
        <w:t>粉煤灰的</w:t>
      </w:r>
      <w:r>
        <w:rPr>
          <w:rFonts w:hint="eastAsia" w:hAnsi="宋体"/>
          <w:szCs w:val="21"/>
        </w:rPr>
        <w:t>质量主要</w:t>
      </w:r>
      <w:r>
        <w:rPr>
          <w:rFonts w:hAnsi="宋体"/>
          <w:szCs w:val="21"/>
        </w:rPr>
        <w:t>控制项目应包括细度、需水量比、</w:t>
      </w:r>
      <w:r>
        <w:rPr>
          <w:rFonts w:hint="eastAsia" w:hAnsi="宋体"/>
          <w:szCs w:val="21"/>
        </w:rPr>
        <w:t>活性指数、</w:t>
      </w:r>
      <w:r>
        <w:rPr>
          <w:rFonts w:hAnsi="宋体"/>
          <w:szCs w:val="21"/>
        </w:rPr>
        <w:t>烧失量</w:t>
      </w:r>
      <w:r>
        <w:rPr>
          <w:rFonts w:hint="eastAsia" w:hAnsi="宋体"/>
          <w:szCs w:val="21"/>
        </w:rPr>
        <w:t>、</w:t>
      </w:r>
      <w:r>
        <w:rPr>
          <w:rFonts w:hAnsi="宋体"/>
          <w:szCs w:val="21"/>
        </w:rPr>
        <w:t>三氧化硫含量</w:t>
      </w:r>
      <w:r>
        <w:rPr>
          <w:rFonts w:hint="eastAsia" w:hAnsi="宋体"/>
          <w:szCs w:val="21"/>
        </w:rPr>
        <w:t>和铵离子含量</w:t>
      </w:r>
      <w:r>
        <w:rPr>
          <w:rFonts w:hAnsi="宋体"/>
          <w:szCs w:val="21"/>
        </w:rPr>
        <w:t>，</w:t>
      </w:r>
      <w:r>
        <w:rPr>
          <w:szCs w:val="21"/>
        </w:rPr>
        <w:t>C</w:t>
      </w:r>
      <w:r>
        <w:rPr>
          <w:rFonts w:hAnsi="宋体"/>
          <w:szCs w:val="21"/>
        </w:rPr>
        <w:t>类粉煤灰的</w:t>
      </w:r>
      <w:r>
        <w:rPr>
          <w:rFonts w:hint="eastAsia" w:hAnsi="宋体"/>
          <w:szCs w:val="21"/>
        </w:rPr>
        <w:t>质量主要</w:t>
      </w:r>
      <w:r>
        <w:rPr>
          <w:rFonts w:hAnsi="宋体"/>
          <w:szCs w:val="21"/>
        </w:rPr>
        <w:t>控制项目还应包括游离氧化钙含量和安定性；粒化高炉矿渣粉</w:t>
      </w:r>
      <w:r>
        <w:rPr>
          <w:rFonts w:hint="eastAsia" w:hAnsi="宋体"/>
          <w:szCs w:val="21"/>
        </w:rPr>
        <w:t>的质量主要</w:t>
      </w:r>
      <w:r>
        <w:rPr>
          <w:rFonts w:hAnsi="宋体"/>
          <w:szCs w:val="21"/>
        </w:rPr>
        <w:t>控制项目应包括比表面积、活性指数和流动度比；硅灰的</w:t>
      </w:r>
      <w:r>
        <w:rPr>
          <w:rFonts w:hint="eastAsia" w:hAnsi="宋体"/>
          <w:szCs w:val="21"/>
        </w:rPr>
        <w:t>质量主要</w:t>
      </w:r>
      <w:r>
        <w:rPr>
          <w:rFonts w:hAnsi="宋体"/>
          <w:szCs w:val="21"/>
        </w:rPr>
        <w:t>控制项目应包括</w:t>
      </w:r>
      <w:r>
        <w:rPr>
          <w:rFonts w:hint="eastAsia" w:hAnsi="宋体"/>
          <w:szCs w:val="21"/>
        </w:rPr>
        <w:t>需水量比、烧失量</w:t>
      </w:r>
      <w:r>
        <w:rPr>
          <w:rFonts w:hAnsi="宋体"/>
          <w:szCs w:val="21"/>
        </w:rPr>
        <w:t>和二氧化硅含量；</w:t>
      </w:r>
      <w:r>
        <w:rPr>
          <w:rFonts w:hint="eastAsia" w:hAnsi="宋体"/>
          <w:szCs w:val="21"/>
        </w:rPr>
        <w:t>石灰石粉的质量主要控制项目应包括细度、流动度比、活性指数和碳酸钙含量；天然火山灰质材料的质量主要控制项目应包括细度、流动度比、活性指数；天然沸石粉的质量主要控制项目应包括细度、吸铵值、活性指数和需水量比；</w:t>
      </w:r>
      <w:r>
        <w:rPr>
          <w:rFonts w:hAnsi="宋体"/>
          <w:szCs w:val="21"/>
        </w:rPr>
        <w:t>钢渣粉的</w:t>
      </w:r>
      <w:r>
        <w:rPr>
          <w:rFonts w:hint="eastAsia" w:hAnsi="宋体"/>
          <w:szCs w:val="21"/>
        </w:rPr>
        <w:t>质量主要</w:t>
      </w:r>
      <w:r>
        <w:rPr>
          <w:rFonts w:hAnsi="宋体"/>
          <w:szCs w:val="21"/>
        </w:rPr>
        <w:t>控制项目应包括</w:t>
      </w:r>
      <w:r>
        <w:rPr>
          <w:rFonts w:hAnsi="宋体"/>
          <w:szCs w:val="18"/>
        </w:rPr>
        <w:t>比表面积</w:t>
      </w:r>
      <w:r>
        <w:rPr>
          <w:rFonts w:hAnsi="宋体"/>
          <w:szCs w:val="21"/>
        </w:rPr>
        <w:t>、活性指数、流动度比、</w:t>
      </w:r>
      <w:r>
        <w:rPr>
          <w:rFonts w:hAnsi="宋体"/>
          <w:szCs w:val="18"/>
        </w:rPr>
        <w:t>游离氧化钙含量、三氧化硫含量、氧化镁含量和安定性</w:t>
      </w:r>
      <w:r>
        <w:rPr>
          <w:rFonts w:hAnsi="宋体"/>
          <w:szCs w:val="21"/>
        </w:rPr>
        <w:t>；磷渣粉的</w:t>
      </w:r>
      <w:r>
        <w:rPr>
          <w:rFonts w:hint="eastAsia" w:hAnsi="宋体"/>
          <w:szCs w:val="21"/>
        </w:rPr>
        <w:t>质量主要</w:t>
      </w:r>
      <w:r>
        <w:rPr>
          <w:rFonts w:hAnsi="宋体"/>
          <w:szCs w:val="21"/>
        </w:rPr>
        <w:t>控制项目应包括</w:t>
      </w:r>
      <w:r>
        <w:rPr>
          <w:rFonts w:hAnsi="宋体"/>
          <w:szCs w:val="18"/>
        </w:rPr>
        <w:t>细度、活性指数、流动度比、五氧化二磷含量和安定性</w:t>
      </w:r>
      <w:r>
        <w:rPr>
          <w:rFonts w:hint="eastAsia" w:hAnsi="宋体"/>
          <w:szCs w:val="18"/>
        </w:rPr>
        <w:t>；普通型复合掺合料的质量主要控制项目应包括细度、流动度比和活性指数，其他类型复合掺合料的质量主要控制项目还应包括反应其功能的特定指标</w:t>
      </w:r>
      <w:r>
        <w:rPr>
          <w:rFonts w:hAnsi="宋体"/>
          <w:szCs w:val="21"/>
        </w:rPr>
        <w:t>。</w:t>
      </w:r>
      <w:r>
        <w:rPr>
          <w:rFonts w:hint="eastAsia" w:hAnsi="宋体"/>
          <w:szCs w:val="21"/>
        </w:rPr>
        <w:t>矿物掺合料的主要控制项目还应包括放射性。</w:t>
      </w:r>
    </w:p>
    <w:p w14:paraId="7533FF44">
      <w:pPr>
        <w:spacing w:line="300" w:lineRule="auto"/>
        <w:rPr>
          <w:szCs w:val="21"/>
        </w:rPr>
      </w:pPr>
      <w:r>
        <w:rPr>
          <w:b/>
          <w:szCs w:val="21"/>
        </w:rPr>
        <w:t>2.4.3</w:t>
      </w:r>
      <w:r>
        <w:rPr>
          <w:szCs w:val="21"/>
        </w:rPr>
        <w:t xml:space="preserve">  </w:t>
      </w:r>
      <w:r>
        <w:rPr>
          <w:rFonts w:hAnsi="宋体"/>
          <w:szCs w:val="21"/>
        </w:rPr>
        <w:t>矿物掺合料</w:t>
      </w:r>
      <w:r>
        <w:rPr>
          <w:rFonts w:hint="eastAsia" w:hAnsi="宋体"/>
          <w:szCs w:val="21"/>
        </w:rPr>
        <w:t>的</w:t>
      </w:r>
      <w:r>
        <w:rPr>
          <w:rFonts w:hAnsi="宋体"/>
          <w:szCs w:val="21"/>
        </w:rPr>
        <w:t>应用应符合下列规定：</w:t>
      </w:r>
    </w:p>
    <w:p w14:paraId="7533FF45">
      <w:pPr>
        <w:spacing w:line="300" w:lineRule="auto"/>
        <w:ind w:firstLine="480"/>
        <w:rPr>
          <w:szCs w:val="21"/>
        </w:rPr>
      </w:pPr>
      <w:r>
        <w:rPr>
          <w:szCs w:val="21"/>
        </w:rPr>
        <w:t>1</w:t>
      </w:r>
      <w:r>
        <w:rPr>
          <w:rFonts w:hint="eastAsia"/>
          <w:szCs w:val="21"/>
        </w:rPr>
        <w:t xml:space="preserve"> </w:t>
      </w:r>
      <w:r>
        <w:rPr>
          <w:rFonts w:hAnsi="宋体"/>
          <w:szCs w:val="21"/>
        </w:rPr>
        <w:t>掺用矿物掺合料的混凝土，宜采用硅酸盐水泥和普通硅酸盐水泥。</w:t>
      </w:r>
    </w:p>
    <w:p w14:paraId="7533FF46">
      <w:pPr>
        <w:spacing w:line="300" w:lineRule="auto"/>
        <w:ind w:firstLine="480"/>
        <w:rPr>
          <w:szCs w:val="21"/>
        </w:rPr>
      </w:pPr>
      <w:r>
        <w:rPr>
          <w:szCs w:val="21"/>
        </w:rPr>
        <w:t>2</w:t>
      </w:r>
      <w:r>
        <w:rPr>
          <w:rFonts w:hint="eastAsia"/>
          <w:szCs w:val="21"/>
        </w:rPr>
        <w:t xml:space="preserve"> </w:t>
      </w:r>
      <w:r>
        <w:rPr>
          <w:rFonts w:hAnsi="宋体"/>
          <w:szCs w:val="21"/>
        </w:rPr>
        <w:t>在混凝土中掺用矿物掺合料时，矿物掺合料的种类和掺量应经试验确定。</w:t>
      </w:r>
    </w:p>
    <w:p w14:paraId="7533FF47">
      <w:pPr>
        <w:spacing w:before="312" w:beforeLines="100" w:after="312" w:afterLines="100" w:line="300" w:lineRule="auto"/>
        <w:jc w:val="center"/>
        <w:outlineLvl w:val="1"/>
        <w:rPr>
          <w:bCs/>
          <w:sz w:val="24"/>
        </w:rPr>
      </w:pPr>
      <w:bookmarkStart w:id="44" w:name="_Toc275249807"/>
      <w:bookmarkStart w:id="45" w:name="_Toc201943553"/>
      <w:bookmarkStart w:id="46" w:name="_Toc268120156"/>
      <w:bookmarkStart w:id="47" w:name="_Toc268120030"/>
      <w:bookmarkStart w:id="48" w:name="_Toc269885289"/>
      <w:bookmarkStart w:id="49" w:name="_Toc268678424"/>
      <w:r>
        <w:rPr>
          <w:bCs/>
          <w:sz w:val="24"/>
        </w:rPr>
        <w:t xml:space="preserve">2.5 </w:t>
      </w:r>
      <w:r>
        <w:rPr>
          <w:rFonts w:hint="eastAsia"/>
          <w:bCs/>
          <w:sz w:val="24"/>
        </w:rPr>
        <w:t xml:space="preserve"> </w:t>
      </w:r>
      <w:r>
        <w:rPr>
          <w:rFonts w:hAnsi="宋体"/>
          <w:bCs/>
          <w:sz w:val="24"/>
        </w:rPr>
        <w:t>外加剂</w:t>
      </w:r>
      <w:bookmarkEnd w:id="44"/>
      <w:bookmarkEnd w:id="45"/>
      <w:bookmarkEnd w:id="46"/>
      <w:bookmarkEnd w:id="47"/>
      <w:bookmarkEnd w:id="48"/>
      <w:bookmarkEnd w:id="49"/>
    </w:p>
    <w:p w14:paraId="7533FF48">
      <w:pPr>
        <w:spacing w:line="300" w:lineRule="auto"/>
        <w:rPr>
          <w:rFonts w:hint="eastAsia" w:hAnsi="宋体"/>
          <w:szCs w:val="21"/>
        </w:rPr>
      </w:pPr>
      <w:r>
        <w:rPr>
          <w:b/>
          <w:szCs w:val="21"/>
        </w:rPr>
        <w:t xml:space="preserve">2.5.1 </w:t>
      </w:r>
      <w:r>
        <w:rPr>
          <w:szCs w:val="21"/>
        </w:rPr>
        <w:t xml:space="preserve"> </w:t>
      </w:r>
      <w:r>
        <w:rPr>
          <w:rFonts w:hAnsi="宋体"/>
          <w:szCs w:val="21"/>
        </w:rPr>
        <w:t>外加剂应符合现行国家标准《混凝土外加剂》</w:t>
      </w:r>
      <w:r>
        <w:rPr>
          <w:szCs w:val="21"/>
        </w:rPr>
        <w:t>GB 8076</w:t>
      </w:r>
      <w:r>
        <w:rPr>
          <w:rFonts w:hAnsi="宋体"/>
          <w:szCs w:val="21"/>
        </w:rPr>
        <w:t>、《</w:t>
      </w:r>
      <w:r>
        <w:rPr>
          <w:szCs w:val="21"/>
        </w:rPr>
        <w:t>混凝土膨胀剂</w:t>
      </w:r>
      <w:r>
        <w:rPr>
          <w:rFonts w:hAnsi="宋体"/>
          <w:szCs w:val="21"/>
        </w:rPr>
        <w:t>》</w:t>
      </w:r>
      <w:r>
        <w:rPr>
          <w:rFonts w:hint="eastAsia" w:hAnsi="宋体"/>
          <w:szCs w:val="21"/>
        </w:rPr>
        <w:t>GB/T 23439</w:t>
      </w:r>
      <w:r>
        <w:rPr>
          <w:rFonts w:hint="eastAsia"/>
          <w:szCs w:val="21"/>
        </w:rPr>
        <w:t>和《</w:t>
      </w:r>
      <w:r>
        <w:t>混凝土外加剂应用技术规范</w:t>
      </w:r>
      <w:r>
        <w:rPr>
          <w:rFonts w:hint="eastAsia"/>
          <w:szCs w:val="21"/>
        </w:rPr>
        <w:t>》</w:t>
      </w:r>
      <w:r>
        <w:rPr>
          <w:rFonts w:hint="eastAsia" w:hAnsi="宋体"/>
          <w:szCs w:val="21"/>
        </w:rPr>
        <w:t>GB 50119</w:t>
      </w:r>
      <w:r>
        <w:rPr>
          <w:rFonts w:hint="eastAsia"/>
        </w:rPr>
        <w:t>和</w:t>
      </w:r>
      <w:r>
        <w:rPr>
          <w:rFonts w:hint="eastAsia"/>
          <w:szCs w:val="18"/>
        </w:rPr>
        <w:t>混凝土外加剂安全性相关标准</w:t>
      </w:r>
      <w:r>
        <w:rPr>
          <w:rFonts w:hAnsi="宋体"/>
          <w:szCs w:val="21"/>
        </w:rPr>
        <w:t>的</w:t>
      </w:r>
      <w:r>
        <w:rPr>
          <w:rFonts w:hint="eastAsia" w:hAnsi="宋体"/>
          <w:szCs w:val="21"/>
        </w:rPr>
        <w:t>有关</w:t>
      </w:r>
      <w:r>
        <w:rPr>
          <w:rFonts w:hAnsi="宋体"/>
          <w:szCs w:val="21"/>
        </w:rPr>
        <w:t>规定</w:t>
      </w:r>
      <w:r>
        <w:rPr>
          <w:rFonts w:hint="eastAsia" w:hAnsi="宋体"/>
          <w:szCs w:val="21"/>
        </w:rPr>
        <w:t>，聚羧酸系高性能减水剂还应符合现行行业标准《</w:t>
      </w:r>
      <w:r>
        <w:rPr>
          <w:rFonts w:hint="eastAsia"/>
        </w:rPr>
        <w:t>聚羧酸系高性能减水剂</w:t>
      </w:r>
      <w:r>
        <w:rPr>
          <w:rFonts w:hint="eastAsia" w:hAnsi="宋体"/>
          <w:szCs w:val="21"/>
        </w:rPr>
        <w:t>》JG/T 223的规定。</w:t>
      </w:r>
    </w:p>
    <w:p w14:paraId="7533FF49">
      <w:pPr>
        <w:spacing w:line="300" w:lineRule="auto"/>
        <w:rPr>
          <w:rFonts w:hint="eastAsia" w:hAnsi="宋体"/>
          <w:szCs w:val="21"/>
        </w:rPr>
      </w:pPr>
      <w:r>
        <w:rPr>
          <w:rFonts w:hAnsi="宋体"/>
          <w:b/>
          <w:bCs/>
          <w:szCs w:val="21"/>
        </w:rPr>
        <w:t>2.5.2</w:t>
      </w:r>
      <w:r>
        <w:rPr>
          <w:rFonts w:hAnsi="宋体"/>
          <w:szCs w:val="21"/>
        </w:rPr>
        <w:t xml:space="preserve">  外加剂质量主要控制项目应包括外加剂匀质性和掺外加剂混凝土性能两方面</w:t>
      </w:r>
      <w:r>
        <w:rPr>
          <w:rFonts w:hint="eastAsia" w:hAnsi="宋体"/>
          <w:szCs w:val="21"/>
        </w:rPr>
        <w:t>。外加剂匀质性方面的主要控制项目应包括pH值、氯离子含量、总碱量、密度或细度、含固量或含水率。掺减水剂混凝土性能方面的主要控制项目应包括减水率、凝结时间差和抗压强度比，减缩型减水剂的主要控制项目还应包含收缩率比，引气剂及引气减水剂的主要控制项目还应包含含气量、含气量经时损失；掺早强剂混凝土性能方面的主要控制项目应包括凝结时间差和抗压强度比；掺缓凝剂混凝土性能方面的主要控制项目应包括凝结时间之差和抗压强度比；掺泵送剂混凝土性能方面的主要控制项目应包括减水率、坍落度</w:t>
      </w:r>
      <w:r>
        <w:rPr>
          <w:rFonts w:hAnsi="宋体"/>
          <w:szCs w:val="21"/>
        </w:rPr>
        <w:t>1h</w:t>
      </w:r>
      <w:r>
        <w:rPr>
          <w:rFonts w:hint="eastAsia" w:hAnsi="宋体"/>
          <w:szCs w:val="21"/>
        </w:rPr>
        <w:t>经时损失变化值和抗压强度比；掺防冻剂混凝土性能方面的主要控制项目应包括含气量和</w:t>
      </w:r>
      <w:r>
        <w:rPr>
          <w:rFonts w:hAnsi="宋体"/>
          <w:szCs w:val="21"/>
        </w:rPr>
        <w:t>50</w:t>
      </w:r>
      <w:r>
        <w:rPr>
          <w:rFonts w:hint="eastAsia" w:hAnsi="宋体"/>
          <w:szCs w:val="21"/>
        </w:rPr>
        <w:t>次冻融强度损失比；掺速凝剂混凝土性能方面的主要控制项目应包括水泥净浆初凝和终凝时间；掺膨胀剂混凝土性能方面的主要控制项目应包括凝结时间、限制膨胀率和抗压强度；掺防水剂混凝土性能方面的主要控制项目应包括凝结时间差、抗压强度比、渗透高度比和吸水量比；掺阻锈剂混凝土性能方面的主要控制项目应包括凝结时间差、抗压强度比、氯离子渗透系数比和硫酸盐侵蚀系数比。</w:t>
      </w:r>
    </w:p>
    <w:p w14:paraId="7533FF4A">
      <w:pPr>
        <w:spacing w:line="300" w:lineRule="auto"/>
        <w:rPr>
          <w:szCs w:val="21"/>
        </w:rPr>
      </w:pPr>
      <w:r>
        <w:rPr>
          <w:b/>
          <w:szCs w:val="21"/>
        </w:rPr>
        <w:t xml:space="preserve">2.5.3 </w:t>
      </w:r>
      <w:r>
        <w:rPr>
          <w:szCs w:val="21"/>
        </w:rPr>
        <w:t xml:space="preserve"> </w:t>
      </w:r>
      <w:r>
        <w:rPr>
          <w:rFonts w:hAnsi="宋体"/>
          <w:szCs w:val="21"/>
        </w:rPr>
        <w:t>外加剂</w:t>
      </w:r>
      <w:r>
        <w:rPr>
          <w:rFonts w:hint="eastAsia" w:hAnsi="宋体"/>
          <w:szCs w:val="21"/>
        </w:rPr>
        <w:t>的</w:t>
      </w:r>
      <w:r>
        <w:rPr>
          <w:rFonts w:hAnsi="宋体"/>
          <w:szCs w:val="21"/>
        </w:rPr>
        <w:t>应用</w:t>
      </w:r>
      <w:r>
        <w:rPr>
          <w:rFonts w:hint="eastAsia" w:hAnsi="宋体"/>
          <w:szCs w:val="21"/>
        </w:rPr>
        <w:t>除</w:t>
      </w:r>
      <w:r>
        <w:rPr>
          <w:rFonts w:hAnsi="宋体"/>
          <w:szCs w:val="21"/>
        </w:rPr>
        <w:t>应符合</w:t>
      </w:r>
      <w:r>
        <w:rPr>
          <w:rFonts w:hint="eastAsia" w:hAnsi="宋体"/>
          <w:szCs w:val="21"/>
        </w:rPr>
        <w:t>现行国家标准</w:t>
      </w:r>
      <w:r>
        <w:rPr>
          <w:rFonts w:hAnsi="宋体"/>
          <w:szCs w:val="21"/>
        </w:rPr>
        <w:t>《混凝土外加剂应用技术规范》</w:t>
      </w:r>
      <w:r>
        <w:rPr>
          <w:szCs w:val="21"/>
        </w:rPr>
        <w:t>GB 50119</w:t>
      </w:r>
      <w:r>
        <w:rPr>
          <w:rFonts w:hAnsi="宋体"/>
          <w:szCs w:val="21"/>
        </w:rPr>
        <w:t>的</w:t>
      </w:r>
      <w:r>
        <w:rPr>
          <w:rFonts w:hint="eastAsia" w:hAnsi="宋体"/>
          <w:szCs w:val="21"/>
        </w:rPr>
        <w:t>有关</w:t>
      </w:r>
      <w:r>
        <w:rPr>
          <w:rFonts w:hAnsi="宋体"/>
          <w:szCs w:val="21"/>
        </w:rPr>
        <w:t>规定</w:t>
      </w:r>
      <w:r>
        <w:rPr>
          <w:rFonts w:hint="eastAsia" w:hAnsi="宋体"/>
          <w:szCs w:val="21"/>
        </w:rPr>
        <w:t>外</w:t>
      </w:r>
      <w:r>
        <w:rPr>
          <w:rFonts w:hAnsi="宋体"/>
          <w:szCs w:val="21"/>
        </w:rPr>
        <w:t>，</w:t>
      </w:r>
      <w:r>
        <w:rPr>
          <w:rFonts w:hint="eastAsia" w:hAnsi="宋体"/>
          <w:szCs w:val="21"/>
        </w:rPr>
        <w:t>尚</w:t>
      </w:r>
      <w:r>
        <w:rPr>
          <w:rFonts w:hAnsi="宋体"/>
          <w:szCs w:val="21"/>
        </w:rPr>
        <w:t>应符合下列规定：</w:t>
      </w:r>
    </w:p>
    <w:p w14:paraId="7533FF4B">
      <w:pPr>
        <w:spacing w:line="300" w:lineRule="auto"/>
        <w:ind w:firstLine="420" w:firstLineChars="200"/>
        <w:rPr>
          <w:szCs w:val="21"/>
        </w:rPr>
      </w:pPr>
      <w:r>
        <w:rPr>
          <w:szCs w:val="21"/>
        </w:rPr>
        <w:t>1</w:t>
      </w:r>
      <w:r>
        <w:rPr>
          <w:rFonts w:hint="eastAsia"/>
          <w:szCs w:val="21"/>
        </w:rPr>
        <w:t xml:space="preserve"> </w:t>
      </w:r>
      <w:r>
        <w:rPr>
          <w:rFonts w:hAnsi="宋体"/>
          <w:szCs w:val="21"/>
        </w:rPr>
        <w:t>在混凝土中掺用外加剂时，外加剂应与水泥具有良好的适应性，其种类和掺量应经试验确定。</w:t>
      </w:r>
    </w:p>
    <w:p w14:paraId="7533FF4C">
      <w:pPr>
        <w:spacing w:line="300" w:lineRule="auto"/>
        <w:ind w:firstLine="420" w:firstLineChars="200"/>
        <w:rPr>
          <w:szCs w:val="21"/>
        </w:rPr>
      </w:pPr>
      <w:r>
        <w:rPr>
          <w:szCs w:val="21"/>
        </w:rPr>
        <w:t>2</w:t>
      </w:r>
      <w:r>
        <w:rPr>
          <w:rFonts w:hint="eastAsia"/>
          <w:szCs w:val="21"/>
        </w:rPr>
        <w:t xml:space="preserve"> </w:t>
      </w:r>
      <w:r>
        <w:rPr>
          <w:rFonts w:hAnsi="宋体"/>
          <w:szCs w:val="21"/>
        </w:rPr>
        <w:t>高强混凝土宜采用高性能减水剂；有抗冻要求的混凝土宜采用引气剂或引气减水剂；大体积混凝土宜采用缓凝剂或缓凝减水剂；混凝土冬期施工可采用防冻剂。</w:t>
      </w:r>
    </w:p>
    <w:p w14:paraId="7533FF4D">
      <w:pPr>
        <w:spacing w:line="300" w:lineRule="auto"/>
        <w:ind w:firstLine="411" w:firstLineChars="196"/>
        <w:rPr>
          <w:szCs w:val="21"/>
        </w:rPr>
      </w:pPr>
      <w:r>
        <w:rPr>
          <w:szCs w:val="21"/>
        </w:rPr>
        <w:t>3</w:t>
      </w:r>
      <w:r>
        <w:rPr>
          <w:rFonts w:hint="eastAsia"/>
          <w:szCs w:val="21"/>
        </w:rPr>
        <w:t xml:space="preserve"> </w:t>
      </w:r>
      <w:r>
        <w:rPr>
          <w:rFonts w:hAnsi="宋体"/>
          <w:szCs w:val="21"/>
        </w:rPr>
        <w:t>外加剂中的氯离子含量和碱含量应满足混凝土设计要求。</w:t>
      </w:r>
    </w:p>
    <w:p w14:paraId="7533FF4E">
      <w:pPr>
        <w:spacing w:line="300" w:lineRule="auto"/>
        <w:ind w:firstLine="420" w:firstLineChars="200"/>
        <w:rPr>
          <w:szCs w:val="21"/>
        </w:rPr>
      </w:pPr>
      <w:r>
        <w:rPr>
          <w:szCs w:val="21"/>
        </w:rPr>
        <w:t>4</w:t>
      </w:r>
      <w:r>
        <w:rPr>
          <w:rFonts w:hint="eastAsia"/>
          <w:szCs w:val="21"/>
        </w:rPr>
        <w:t xml:space="preserve"> </w:t>
      </w:r>
      <w:r>
        <w:rPr>
          <w:rFonts w:hAnsi="宋体"/>
          <w:szCs w:val="21"/>
        </w:rPr>
        <w:t>宜采用液态外加剂。</w:t>
      </w:r>
    </w:p>
    <w:p w14:paraId="7533FF4F">
      <w:pPr>
        <w:spacing w:before="312" w:beforeLines="100" w:after="312" w:afterLines="100" w:line="300" w:lineRule="auto"/>
        <w:jc w:val="center"/>
        <w:outlineLvl w:val="1"/>
        <w:rPr>
          <w:bCs/>
          <w:sz w:val="24"/>
        </w:rPr>
      </w:pPr>
      <w:bookmarkStart w:id="50" w:name="_Toc268120157"/>
      <w:bookmarkStart w:id="51" w:name="_Toc269885290"/>
      <w:bookmarkStart w:id="52" w:name="_Toc201943554"/>
      <w:bookmarkStart w:id="53" w:name="_Toc268678425"/>
      <w:bookmarkStart w:id="54" w:name="_Toc268120031"/>
      <w:bookmarkStart w:id="55" w:name="_Toc275249808"/>
      <w:r>
        <w:rPr>
          <w:bCs/>
          <w:sz w:val="24"/>
        </w:rPr>
        <w:t>2.6</w:t>
      </w:r>
      <w:r>
        <w:rPr>
          <w:rFonts w:hint="eastAsia"/>
          <w:bCs/>
          <w:sz w:val="24"/>
        </w:rPr>
        <w:t xml:space="preserve"> </w:t>
      </w:r>
      <w:r>
        <w:rPr>
          <w:bCs/>
          <w:sz w:val="24"/>
        </w:rPr>
        <w:t xml:space="preserve"> </w:t>
      </w:r>
      <w:r>
        <w:rPr>
          <w:rFonts w:hAnsi="宋体"/>
          <w:bCs/>
          <w:sz w:val="24"/>
        </w:rPr>
        <w:t>水</w:t>
      </w:r>
      <w:bookmarkEnd w:id="50"/>
      <w:bookmarkEnd w:id="51"/>
      <w:bookmarkEnd w:id="52"/>
      <w:bookmarkEnd w:id="53"/>
      <w:bookmarkEnd w:id="54"/>
      <w:bookmarkEnd w:id="55"/>
    </w:p>
    <w:p w14:paraId="7533FF50">
      <w:pPr>
        <w:spacing w:line="300" w:lineRule="auto"/>
        <w:rPr>
          <w:rFonts w:hint="eastAsia" w:hAnsi="宋体"/>
          <w:szCs w:val="21"/>
        </w:rPr>
      </w:pPr>
      <w:r>
        <w:rPr>
          <w:b/>
          <w:szCs w:val="21"/>
        </w:rPr>
        <w:t>2.6.1</w:t>
      </w:r>
      <w:r>
        <w:rPr>
          <w:szCs w:val="21"/>
        </w:rPr>
        <w:t xml:space="preserve">  </w:t>
      </w:r>
      <w:r>
        <w:rPr>
          <w:rFonts w:hAnsi="宋体"/>
          <w:szCs w:val="21"/>
        </w:rPr>
        <w:t>混凝土用水应符合现行行业标准《混凝土用水标准》</w:t>
      </w:r>
      <w:r>
        <w:rPr>
          <w:szCs w:val="21"/>
        </w:rPr>
        <w:t>JGJ 63</w:t>
      </w:r>
      <w:r>
        <w:rPr>
          <w:rFonts w:hint="eastAsia"/>
          <w:szCs w:val="21"/>
        </w:rPr>
        <w:t>和现行国家标准</w:t>
      </w:r>
      <w:r>
        <w:rPr>
          <w:rFonts w:hAnsi="宋体"/>
          <w:szCs w:val="21"/>
        </w:rPr>
        <w:t>的</w:t>
      </w:r>
      <w:r>
        <w:rPr>
          <w:rFonts w:hint="eastAsia" w:hAnsi="宋体"/>
          <w:szCs w:val="21"/>
        </w:rPr>
        <w:t>有关</w:t>
      </w:r>
      <w:r>
        <w:rPr>
          <w:rFonts w:hAnsi="宋体"/>
          <w:szCs w:val="21"/>
        </w:rPr>
        <w:t>规定。</w:t>
      </w:r>
    </w:p>
    <w:p w14:paraId="7533FF51">
      <w:pPr>
        <w:spacing w:line="300" w:lineRule="auto"/>
        <w:rPr>
          <w:rFonts w:hint="eastAsia" w:hAnsi="宋体"/>
          <w:szCs w:val="21"/>
        </w:rPr>
      </w:pPr>
      <w:r>
        <w:rPr>
          <w:b/>
          <w:szCs w:val="21"/>
        </w:rPr>
        <w:t xml:space="preserve">2.6.2 </w:t>
      </w:r>
      <w:r>
        <w:rPr>
          <w:szCs w:val="21"/>
        </w:rPr>
        <w:t xml:space="preserve"> </w:t>
      </w:r>
      <w:r>
        <w:rPr>
          <w:rFonts w:hAnsi="宋体"/>
          <w:szCs w:val="21"/>
        </w:rPr>
        <w:t>混凝土用水</w:t>
      </w:r>
      <w:r>
        <w:rPr>
          <w:rFonts w:hint="eastAsia" w:hAnsi="宋体"/>
          <w:szCs w:val="21"/>
        </w:rPr>
        <w:t>质量主要</w:t>
      </w:r>
      <w:r>
        <w:rPr>
          <w:rFonts w:hAnsi="宋体"/>
          <w:szCs w:val="21"/>
        </w:rPr>
        <w:t>控制项目应包括</w:t>
      </w:r>
      <w:r>
        <w:rPr>
          <w:szCs w:val="21"/>
        </w:rPr>
        <w:t>pH</w:t>
      </w:r>
      <w:r>
        <w:rPr>
          <w:rFonts w:hAnsi="宋体"/>
          <w:szCs w:val="21"/>
        </w:rPr>
        <w:t>值、不溶物含量、可溶物含量、硫酸根离子含量、氯离子含量、水泥凝结时间差和水泥胶砂强度比</w:t>
      </w:r>
      <w:r>
        <w:rPr>
          <w:rFonts w:hint="eastAsia" w:hAnsi="宋体"/>
          <w:szCs w:val="21"/>
        </w:rPr>
        <w:t>。</w:t>
      </w:r>
      <w:r>
        <w:rPr>
          <w:rFonts w:hAnsi="宋体"/>
          <w:szCs w:val="21"/>
        </w:rPr>
        <w:t>当混凝土骨料为碱活性时，主要控制项目还应包括碱含量。</w:t>
      </w:r>
      <w:r>
        <w:rPr>
          <w:rFonts w:hint="eastAsia" w:hAnsi="宋体"/>
          <w:szCs w:val="21"/>
        </w:rPr>
        <w:t>地表水、地下水、再生水质量主要控制项目还应包括放射性。</w:t>
      </w:r>
    </w:p>
    <w:p w14:paraId="7533FF52">
      <w:pPr>
        <w:spacing w:line="300" w:lineRule="auto"/>
        <w:rPr>
          <w:szCs w:val="21"/>
        </w:rPr>
      </w:pPr>
      <w:r>
        <w:rPr>
          <w:b/>
          <w:szCs w:val="21"/>
        </w:rPr>
        <w:t xml:space="preserve">2.6.3 </w:t>
      </w:r>
      <w:r>
        <w:rPr>
          <w:szCs w:val="21"/>
        </w:rPr>
        <w:t xml:space="preserve"> </w:t>
      </w:r>
      <w:r>
        <w:rPr>
          <w:rFonts w:hAnsi="宋体"/>
          <w:szCs w:val="21"/>
        </w:rPr>
        <w:t>混凝土用水</w:t>
      </w:r>
      <w:r>
        <w:rPr>
          <w:rFonts w:hint="eastAsia" w:hAnsi="宋体"/>
          <w:szCs w:val="21"/>
        </w:rPr>
        <w:t>的</w:t>
      </w:r>
      <w:r>
        <w:rPr>
          <w:rFonts w:hAnsi="宋体"/>
          <w:szCs w:val="21"/>
        </w:rPr>
        <w:t>应用应符合下列规定：</w:t>
      </w:r>
    </w:p>
    <w:p w14:paraId="7533FF53">
      <w:pPr>
        <w:spacing w:line="300" w:lineRule="auto"/>
        <w:ind w:firstLine="420" w:firstLineChars="200"/>
        <w:rPr>
          <w:szCs w:val="21"/>
        </w:rPr>
      </w:pPr>
      <w:r>
        <w:rPr>
          <w:szCs w:val="21"/>
        </w:rPr>
        <w:t>1</w:t>
      </w:r>
      <w:r>
        <w:rPr>
          <w:rFonts w:hint="eastAsia"/>
          <w:szCs w:val="21"/>
        </w:rPr>
        <w:t xml:space="preserve"> </w:t>
      </w:r>
      <w:r>
        <w:rPr>
          <w:rFonts w:hAnsi="宋体"/>
          <w:szCs w:val="21"/>
        </w:rPr>
        <w:t>未经处理的海水</w:t>
      </w:r>
      <w:r>
        <w:rPr>
          <w:rFonts w:hint="eastAsia" w:hAnsi="宋体"/>
          <w:szCs w:val="21"/>
          <w:lang w:eastAsia="zh-CN"/>
        </w:rPr>
        <w:t>不得</w:t>
      </w:r>
      <w:r>
        <w:rPr>
          <w:rFonts w:hAnsi="宋体"/>
          <w:szCs w:val="21"/>
        </w:rPr>
        <w:t>用于钢筋混凝土和预应力混凝土。</w:t>
      </w:r>
    </w:p>
    <w:p w14:paraId="7533FF54">
      <w:pPr>
        <w:spacing w:line="300" w:lineRule="auto"/>
        <w:ind w:firstLine="420" w:firstLineChars="200"/>
        <w:rPr>
          <w:rStyle w:val="22"/>
        </w:rPr>
      </w:pPr>
      <w:r>
        <w:rPr>
          <w:szCs w:val="21"/>
        </w:rPr>
        <w:t>2</w:t>
      </w:r>
      <w:r>
        <w:rPr>
          <w:rFonts w:hint="eastAsia"/>
          <w:szCs w:val="21"/>
        </w:rPr>
        <w:t xml:space="preserve"> </w:t>
      </w:r>
      <w:r>
        <w:rPr>
          <w:rFonts w:hint="eastAsia" w:hAnsi="宋体"/>
          <w:szCs w:val="21"/>
        </w:rPr>
        <w:t>当</w:t>
      </w:r>
      <w:r>
        <w:rPr>
          <w:rFonts w:hAnsi="宋体"/>
          <w:szCs w:val="21"/>
        </w:rPr>
        <w:t>骨料</w:t>
      </w:r>
      <w:r>
        <w:rPr>
          <w:rFonts w:hint="eastAsia" w:hAnsi="宋体"/>
          <w:szCs w:val="21"/>
        </w:rPr>
        <w:t>具有</w:t>
      </w:r>
      <w:r>
        <w:rPr>
          <w:rFonts w:hAnsi="宋体"/>
          <w:szCs w:val="21"/>
        </w:rPr>
        <w:t>碱活性</w:t>
      </w:r>
      <w:r>
        <w:rPr>
          <w:rFonts w:hint="eastAsia" w:hAnsi="宋体"/>
          <w:szCs w:val="21"/>
        </w:rPr>
        <w:t>时，混凝土用水</w:t>
      </w:r>
      <w:r>
        <w:rPr>
          <w:rFonts w:hAnsi="宋体"/>
          <w:szCs w:val="21"/>
        </w:rPr>
        <w:t>不得采用混凝土企业</w:t>
      </w:r>
      <w:r>
        <w:rPr>
          <w:rFonts w:hint="eastAsia" w:hAnsi="宋体"/>
          <w:szCs w:val="21"/>
        </w:rPr>
        <w:t>生产</w:t>
      </w:r>
      <w:r>
        <w:rPr>
          <w:rFonts w:hAnsi="宋体"/>
          <w:szCs w:val="21"/>
        </w:rPr>
        <w:t>设备洗涮水。</w:t>
      </w:r>
    </w:p>
    <w:p w14:paraId="7533FF55">
      <w:pPr>
        <w:spacing w:line="300" w:lineRule="auto"/>
        <w:ind w:firstLine="420" w:firstLineChars="200"/>
        <w:rPr>
          <w:rStyle w:val="22"/>
        </w:rPr>
      </w:pPr>
      <w:r>
        <w:rPr>
          <w:rStyle w:val="22"/>
          <w:rFonts w:hint="eastAsia"/>
        </w:rPr>
        <w:t xml:space="preserve">3 </w:t>
      </w:r>
      <w:r>
        <w:rPr>
          <w:rFonts w:hint="eastAsia" w:hAnsi="宋体"/>
          <w:szCs w:val="21"/>
        </w:rPr>
        <w:t>搅拌站应对生产过程中产生的工业废水和固体废弃物进行回收处理和再生利用，其中搅拌站生产过程中的工业废水的回收利用应符合现行行业标准《预拌混凝土生产企业废水回收利用规范》JC/T 2647的规定。</w:t>
      </w:r>
    </w:p>
    <w:p w14:paraId="7533FF56">
      <w:pPr>
        <w:spacing w:before="312" w:beforeLines="100" w:after="312" w:afterLines="100" w:line="300" w:lineRule="auto"/>
        <w:jc w:val="center"/>
        <w:outlineLvl w:val="1"/>
        <w:rPr>
          <w:bCs/>
          <w:sz w:val="24"/>
        </w:rPr>
      </w:pPr>
      <w:bookmarkStart w:id="56" w:name="_Toc201943555"/>
      <w:r>
        <w:rPr>
          <w:bCs/>
          <w:sz w:val="24"/>
        </w:rPr>
        <w:t>2.</w:t>
      </w:r>
      <w:r>
        <w:rPr>
          <w:rFonts w:hint="eastAsia"/>
          <w:bCs/>
          <w:sz w:val="24"/>
        </w:rPr>
        <w:t xml:space="preserve">7 </w:t>
      </w:r>
      <w:r>
        <w:rPr>
          <w:bCs/>
          <w:sz w:val="24"/>
        </w:rPr>
        <w:t xml:space="preserve"> </w:t>
      </w:r>
      <w:r>
        <w:rPr>
          <w:rFonts w:hint="eastAsia" w:hAnsi="宋体"/>
          <w:bCs/>
          <w:sz w:val="24"/>
        </w:rPr>
        <w:t>纤维</w:t>
      </w:r>
      <w:bookmarkEnd w:id="56"/>
    </w:p>
    <w:p w14:paraId="7533FF57">
      <w:pPr>
        <w:spacing w:line="300" w:lineRule="auto"/>
        <w:rPr>
          <w:b/>
          <w:szCs w:val="21"/>
        </w:rPr>
      </w:pPr>
      <w:r>
        <w:rPr>
          <w:rFonts w:hint="eastAsia"/>
          <w:b/>
          <w:szCs w:val="21"/>
        </w:rPr>
        <w:t xml:space="preserve">2.7.1  </w:t>
      </w:r>
      <w:r>
        <w:rPr>
          <w:bCs/>
          <w:szCs w:val="21"/>
        </w:rPr>
        <w:t>钢纤维应</w:t>
      </w:r>
      <w:r>
        <w:rPr>
          <w:rFonts w:hint="eastAsia"/>
          <w:bCs/>
          <w:szCs w:val="21"/>
        </w:rPr>
        <w:t>符合国家现行标准《混凝土用钢纤维》</w:t>
      </w:r>
      <w:r>
        <w:rPr>
          <w:bCs/>
          <w:szCs w:val="21"/>
        </w:rPr>
        <w:t>GB∕T 39147</w:t>
      </w:r>
      <w:r>
        <w:rPr>
          <w:rFonts w:hint="eastAsia"/>
          <w:bCs/>
          <w:szCs w:val="21"/>
        </w:rPr>
        <w:t>和《纤维混凝土应用技术规程》JGJ/T 221的规定，合成</w:t>
      </w:r>
      <w:r>
        <w:rPr>
          <w:bCs/>
          <w:szCs w:val="21"/>
        </w:rPr>
        <w:t>纤维应符合</w:t>
      </w:r>
      <w:r>
        <w:rPr>
          <w:rFonts w:hint="eastAsia"/>
          <w:bCs/>
          <w:szCs w:val="21"/>
        </w:rPr>
        <w:t>现行国家标准《水泥混凝土和砂浆用合成纤维》</w:t>
      </w:r>
      <w:r>
        <w:rPr>
          <w:bCs/>
          <w:szCs w:val="21"/>
        </w:rPr>
        <w:t>GB/T 21120的规定</w:t>
      </w:r>
      <w:r>
        <w:rPr>
          <w:rFonts w:hint="eastAsia"/>
          <w:bCs/>
          <w:szCs w:val="21"/>
        </w:rPr>
        <w:t>，玄武岩纤维应符合现行国家标准《</w:t>
      </w:r>
      <w:r>
        <w:rPr>
          <w:bCs/>
          <w:szCs w:val="21"/>
        </w:rPr>
        <w:t>水泥混凝土和砂浆用短切玄武岩纤维</w:t>
      </w:r>
      <w:r>
        <w:rPr>
          <w:rFonts w:hint="eastAsia"/>
          <w:bCs/>
          <w:szCs w:val="21"/>
        </w:rPr>
        <w:t>》</w:t>
      </w:r>
      <w:r>
        <w:rPr>
          <w:bCs/>
          <w:szCs w:val="21"/>
        </w:rPr>
        <w:t>GB/T 23265</w:t>
      </w:r>
      <w:r>
        <w:rPr>
          <w:rFonts w:hint="eastAsia"/>
          <w:bCs/>
          <w:szCs w:val="21"/>
        </w:rPr>
        <w:t>的规定，耐碱玻璃纤维应符合现行国家标准《</w:t>
      </w:r>
      <w:r>
        <w:rPr>
          <w:bCs/>
          <w:szCs w:val="21"/>
        </w:rPr>
        <w:t>水泥混凝土和砂浆用耐碱玻璃纤维</w:t>
      </w:r>
      <w:r>
        <w:rPr>
          <w:rFonts w:hint="eastAsia"/>
          <w:bCs/>
          <w:szCs w:val="21"/>
        </w:rPr>
        <w:t>》</w:t>
      </w:r>
      <w:r>
        <w:rPr>
          <w:bCs/>
          <w:szCs w:val="21"/>
        </w:rPr>
        <w:t>GB∕T 38143</w:t>
      </w:r>
      <w:r>
        <w:rPr>
          <w:rFonts w:hint="eastAsia"/>
          <w:bCs/>
          <w:szCs w:val="21"/>
        </w:rPr>
        <w:t>的规定。</w:t>
      </w:r>
    </w:p>
    <w:p w14:paraId="7533FF58">
      <w:pPr>
        <w:spacing w:line="300" w:lineRule="auto"/>
        <w:rPr>
          <w:rFonts w:hint="eastAsia" w:hAnsi="宋体"/>
          <w:szCs w:val="21"/>
        </w:rPr>
      </w:pPr>
      <w:r>
        <w:rPr>
          <w:b/>
          <w:szCs w:val="21"/>
        </w:rPr>
        <w:t>2.</w:t>
      </w:r>
      <w:r>
        <w:rPr>
          <w:rFonts w:hint="eastAsia"/>
          <w:b/>
          <w:szCs w:val="21"/>
        </w:rPr>
        <w:t>7</w:t>
      </w:r>
      <w:r>
        <w:rPr>
          <w:b/>
          <w:szCs w:val="21"/>
        </w:rPr>
        <w:t>.2</w:t>
      </w:r>
      <w:r>
        <w:rPr>
          <w:rFonts w:hint="eastAsia"/>
          <w:b/>
          <w:szCs w:val="21"/>
        </w:rPr>
        <w:t xml:space="preserve">  </w:t>
      </w:r>
      <w:r>
        <w:rPr>
          <w:rFonts w:hint="eastAsia" w:hAnsi="宋体"/>
          <w:szCs w:val="21"/>
        </w:rPr>
        <w:t>钢纤维质量主要</w:t>
      </w:r>
      <w:r>
        <w:rPr>
          <w:rFonts w:hAnsi="宋体"/>
          <w:szCs w:val="21"/>
        </w:rPr>
        <w:t>控制项目应包括</w:t>
      </w:r>
      <w:r>
        <w:rPr>
          <w:rFonts w:hint="eastAsia"/>
          <w:szCs w:val="21"/>
        </w:rPr>
        <w:t>抗拉强度、弯折性能、尺寸偏差和杂质含量</w:t>
      </w:r>
      <w:r>
        <w:rPr>
          <w:rFonts w:hint="eastAsia" w:hAnsi="宋体"/>
          <w:szCs w:val="21"/>
        </w:rPr>
        <w:t>。合成纤维质量主要控制项目应包括纤维抗拉强度、初始模量、断裂伸长率、耐碱性能、分散性相对误差、混凝土抗压强度比，增韧纤维质量主要控制项目还应包括韧性指数和抗冲击次数比，玄武岩纤维质量主要控制项目应包括长度、密度和耐碱强力保留率，耐碱玻璃纤维质量主要控制项目应包括尺寸偏差、密度和耐碱强力保留率。</w:t>
      </w:r>
    </w:p>
    <w:p w14:paraId="7533FF59">
      <w:bookmarkStart w:id="57" w:name="_Toc268120032"/>
      <w:bookmarkStart w:id="58" w:name="_Toc268120158"/>
      <w:bookmarkStart w:id="59" w:name="_Toc268678426"/>
      <w:bookmarkStart w:id="60" w:name="_Toc269885291"/>
      <w:bookmarkStart w:id="61" w:name="_Toc275249809"/>
      <w:r>
        <w:br w:type="page"/>
      </w:r>
    </w:p>
    <w:p w14:paraId="7533FF5A">
      <w:pPr>
        <w:pStyle w:val="38"/>
        <w:spacing w:before="312" w:after="312"/>
        <w:rPr>
          <w:b w:val="0"/>
        </w:rPr>
      </w:pPr>
      <w:bookmarkStart w:id="62" w:name="_Toc201943556"/>
      <w:r>
        <w:rPr>
          <w:b w:val="0"/>
        </w:rPr>
        <w:t xml:space="preserve">3  </w:t>
      </w:r>
      <w:r>
        <w:rPr>
          <w:rFonts w:hAnsi="宋体"/>
          <w:b w:val="0"/>
        </w:rPr>
        <w:t>混凝土性能</w:t>
      </w:r>
      <w:bookmarkEnd w:id="57"/>
      <w:bookmarkEnd w:id="58"/>
      <w:bookmarkEnd w:id="59"/>
      <w:bookmarkEnd w:id="60"/>
      <w:r>
        <w:rPr>
          <w:rFonts w:hAnsi="宋体"/>
          <w:b w:val="0"/>
        </w:rPr>
        <w:t>要求</w:t>
      </w:r>
      <w:bookmarkEnd w:id="61"/>
      <w:bookmarkEnd w:id="62"/>
    </w:p>
    <w:p w14:paraId="7533FF5B">
      <w:pPr>
        <w:spacing w:before="312" w:beforeLines="100" w:after="312" w:afterLines="100" w:line="300" w:lineRule="auto"/>
        <w:jc w:val="center"/>
        <w:outlineLvl w:val="1"/>
        <w:rPr>
          <w:bCs/>
          <w:sz w:val="24"/>
        </w:rPr>
      </w:pPr>
      <w:bookmarkStart w:id="63" w:name="_Toc275249810"/>
      <w:bookmarkStart w:id="64" w:name="_Toc269885292"/>
      <w:bookmarkStart w:id="65" w:name="_Toc268120159"/>
      <w:bookmarkStart w:id="66" w:name="_Toc268678427"/>
      <w:bookmarkStart w:id="67" w:name="_Toc201943557"/>
      <w:bookmarkStart w:id="68" w:name="_Toc268120033"/>
      <w:r>
        <w:rPr>
          <w:bCs/>
          <w:sz w:val="24"/>
        </w:rPr>
        <w:t xml:space="preserve">3.1 </w:t>
      </w:r>
      <w:r>
        <w:rPr>
          <w:rFonts w:hint="eastAsia"/>
          <w:bCs/>
          <w:sz w:val="24"/>
        </w:rPr>
        <w:t xml:space="preserve"> </w:t>
      </w:r>
      <w:r>
        <w:rPr>
          <w:rFonts w:hAnsi="宋体"/>
          <w:bCs/>
          <w:sz w:val="24"/>
        </w:rPr>
        <w:t>拌合物性能</w:t>
      </w:r>
      <w:bookmarkEnd w:id="63"/>
      <w:bookmarkEnd w:id="64"/>
      <w:bookmarkEnd w:id="65"/>
      <w:bookmarkEnd w:id="66"/>
      <w:bookmarkEnd w:id="67"/>
      <w:bookmarkEnd w:id="68"/>
    </w:p>
    <w:p w14:paraId="7533FF5C">
      <w:pPr>
        <w:spacing w:line="300" w:lineRule="auto"/>
        <w:rPr>
          <w:szCs w:val="21"/>
        </w:rPr>
      </w:pPr>
      <w:r>
        <w:rPr>
          <w:b/>
          <w:szCs w:val="21"/>
        </w:rPr>
        <w:t>3.1.1</w:t>
      </w:r>
      <w:r>
        <w:rPr>
          <w:szCs w:val="21"/>
        </w:rPr>
        <w:t xml:space="preserve">  </w:t>
      </w:r>
      <w:r>
        <w:rPr>
          <w:rFonts w:hAnsi="宋体"/>
          <w:szCs w:val="21"/>
        </w:rPr>
        <w:t>混凝土拌合物性能应满足设计和施工要求。混凝土拌合物性能试验方法应符合现行国家标准《普通混凝土拌合物性能试验方法标准》</w:t>
      </w:r>
      <w:r>
        <w:rPr>
          <w:szCs w:val="21"/>
        </w:rPr>
        <w:t>GB/T 50080</w:t>
      </w:r>
      <w:r>
        <w:rPr>
          <w:rFonts w:hAnsi="宋体"/>
          <w:szCs w:val="21"/>
        </w:rPr>
        <w:t>的</w:t>
      </w:r>
      <w:r>
        <w:rPr>
          <w:rFonts w:hint="eastAsia" w:hAnsi="宋体"/>
          <w:szCs w:val="21"/>
        </w:rPr>
        <w:t>有关</w:t>
      </w:r>
      <w:r>
        <w:rPr>
          <w:rFonts w:hAnsi="宋体"/>
          <w:szCs w:val="21"/>
        </w:rPr>
        <w:t>规定</w:t>
      </w:r>
      <w:r>
        <w:rPr>
          <w:rFonts w:hint="eastAsia" w:hAnsi="宋体"/>
          <w:szCs w:val="21"/>
        </w:rPr>
        <w:t>。当采用自动化试验方法时，还应符合国家现行相关标准的规定。</w:t>
      </w:r>
    </w:p>
    <w:p w14:paraId="7533FF5D">
      <w:pPr>
        <w:spacing w:line="300" w:lineRule="auto"/>
        <w:rPr>
          <w:rFonts w:hint="eastAsia" w:hAnsi="宋体"/>
          <w:szCs w:val="21"/>
        </w:rPr>
      </w:pPr>
      <w:r>
        <w:rPr>
          <w:b/>
          <w:szCs w:val="21"/>
        </w:rPr>
        <w:t>3.1.2</w:t>
      </w:r>
      <w:r>
        <w:rPr>
          <w:szCs w:val="21"/>
        </w:rPr>
        <w:t xml:space="preserve">  </w:t>
      </w:r>
      <w:r>
        <w:rPr>
          <w:rFonts w:hAnsi="宋体"/>
          <w:szCs w:val="21"/>
        </w:rPr>
        <w:t>混凝土拌合物的稠度可采用</w:t>
      </w:r>
      <w:r>
        <w:rPr>
          <w:rFonts w:hAnsi="宋体"/>
          <w:kern w:val="0"/>
          <w:szCs w:val="21"/>
        </w:rPr>
        <w:t>坍落度、维勃稠度或扩展度表示</w:t>
      </w:r>
      <w:r>
        <w:rPr>
          <w:rFonts w:hint="eastAsia" w:hAnsi="宋体"/>
          <w:kern w:val="0"/>
          <w:szCs w:val="21"/>
        </w:rPr>
        <w:t>。</w:t>
      </w:r>
      <w:r>
        <w:rPr>
          <w:rFonts w:hAnsi="宋体"/>
          <w:kern w:val="0"/>
          <w:szCs w:val="21"/>
        </w:rPr>
        <w:t>坍落度检验适用于坍落度不小于</w:t>
      </w:r>
      <w:r>
        <w:rPr>
          <w:kern w:val="0"/>
          <w:szCs w:val="21"/>
        </w:rPr>
        <w:t>10mm</w:t>
      </w:r>
      <w:r>
        <w:rPr>
          <w:rFonts w:hAnsi="宋体"/>
          <w:kern w:val="0"/>
          <w:szCs w:val="21"/>
        </w:rPr>
        <w:t>的混凝土拌合物，维勃稠度检验适用于维勃稠度</w:t>
      </w:r>
      <w:r>
        <w:rPr>
          <w:szCs w:val="21"/>
        </w:rPr>
        <w:t>5</w:t>
      </w:r>
      <w:r>
        <w:rPr>
          <w:kern w:val="0"/>
          <w:szCs w:val="21"/>
        </w:rPr>
        <w:t>s</w:t>
      </w:r>
      <w:r>
        <w:rPr>
          <w:rFonts w:hAnsi="宋体"/>
          <w:szCs w:val="21"/>
        </w:rPr>
        <w:t>～</w:t>
      </w:r>
      <w:r>
        <w:rPr>
          <w:szCs w:val="21"/>
        </w:rPr>
        <w:t>30</w:t>
      </w:r>
      <w:r>
        <w:rPr>
          <w:kern w:val="0"/>
          <w:szCs w:val="21"/>
        </w:rPr>
        <w:t>s</w:t>
      </w:r>
      <w:r>
        <w:rPr>
          <w:rFonts w:hAnsi="宋体"/>
          <w:kern w:val="0"/>
          <w:szCs w:val="21"/>
        </w:rPr>
        <w:t>的混凝土拌合物，扩展度适用于泵送高强混凝土和自密实混凝土。</w:t>
      </w:r>
      <w:r>
        <w:rPr>
          <w:rFonts w:hAnsi="宋体"/>
          <w:szCs w:val="21"/>
        </w:rPr>
        <w:t>坍落度、</w:t>
      </w:r>
      <w:r>
        <w:rPr>
          <w:rFonts w:hAnsi="宋体"/>
          <w:kern w:val="0"/>
          <w:szCs w:val="21"/>
        </w:rPr>
        <w:t>维勃稠度和扩展度的</w:t>
      </w:r>
      <w:r>
        <w:rPr>
          <w:rFonts w:hint="eastAsia" w:hAnsi="宋体"/>
          <w:kern w:val="0"/>
          <w:szCs w:val="21"/>
        </w:rPr>
        <w:t>等级</w:t>
      </w:r>
      <w:r>
        <w:rPr>
          <w:rFonts w:hAnsi="宋体"/>
          <w:szCs w:val="21"/>
        </w:rPr>
        <w:t>划分及其</w:t>
      </w:r>
      <w:r>
        <w:rPr>
          <w:rFonts w:hint="eastAsia" w:hAnsi="宋体"/>
          <w:szCs w:val="21"/>
        </w:rPr>
        <w:t>稠度</w:t>
      </w:r>
      <w:r>
        <w:rPr>
          <w:rFonts w:hAnsi="宋体"/>
          <w:szCs w:val="21"/>
        </w:rPr>
        <w:t>允许偏差应分别符合表</w:t>
      </w:r>
      <w:r>
        <w:rPr>
          <w:szCs w:val="21"/>
        </w:rPr>
        <w:t>3.1.2-1</w:t>
      </w:r>
      <w:r>
        <w:rPr>
          <w:rFonts w:hAnsi="宋体"/>
          <w:szCs w:val="21"/>
        </w:rPr>
        <w:t>、</w:t>
      </w:r>
      <w:r>
        <w:rPr>
          <w:rFonts w:hint="eastAsia" w:hAnsi="宋体"/>
          <w:szCs w:val="21"/>
        </w:rPr>
        <w:t>表</w:t>
      </w:r>
      <w:r>
        <w:rPr>
          <w:szCs w:val="21"/>
        </w:rPr>
        <w:t>3.1.2-2</w:t>
      </w:r>
      <w:r>
        <w:rPr>
          <w:rFonts w:hAnsi="宋体"/>
          <w:szCs w:val="21"/>
        </w:rPr>
        <w:t>、</w:t>
      </w:r>
      <w:r>
        <w:rPr>
          <w:rFonts w:hint="eastAsia" w:hAnsi="宋体"/>
          <w:szCs w:val="21"/>
        </w:rPr>
        <w:t>表</w:t>
      </w:r>
      <w:r>
        <w:rPr>
          <w:szCs w:val="21"/>
        </w:rPr>
        <w:t>3.1.2-3</w:t>
      </w:r>
      <w:r>
        <w:rPr>
          <w:rFonts w:hAnsi="宋体"/>
          <w:szCs w:val="21"/>
        </w:rPr>
        <w:t>和</w:t>
      </w:r>
      <w:r>
        <w:rPr>
          <w:rFonts w:hint="eastAsia" w:hAnsi="宋体"/>
          <w:szCs w:val="21"/>
        </w:rPr>
        <w:t>表</w:t>
      </w:r>
      <w:r>
        <w:rPr>
          <w:szCs w:val="21"/>
        </w:rPr>
        <w:t>3.1.2-4</w:t>
      </w:r>
      <w:r>
        <w:rPr>
          <w:rFonts w:hAnsi="宋体"/>
          <w:szCs w:val="21"/>
        </w:rPr>
        <w:t>的规定。</w:t>
      </w:r>
      <w:r>
        <w:rPr>
          <w:rFonts w:hint="eastAsia" w:hAnsi="宋体"/>
          <w:szCs w:val="21"/>
        </w:rPr>
        <w:t>高强自密实混凝土扩展度允许偏差可放宽至±</w:t>
      </w:r>
      <w:r>
        <w:rPr>
          <w:rFonts w:hAnsi="宋体"/>
          <w:szCs w:val="21"/>
        </w:rPr>
        <w:t>50mm</w:t>
      </w:r>
      <w:r>
        <w:rPr>
          <w:rFonts w:hint="eastAsia" w:hAnsi="宋体"/>
          <w:szCs w:val="21"/>
        </w:rPr>
        <w:t>。</w:t>
      </w:r>
    </w:p>
    <w:p w14:paraId="7533FF5E">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表3.1.2-1  混凝土拌合物的坍落度等级划分</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4"/>
        <w:gridCol w:w="5398"/>
      </w:tblGrid>
      <w:tr w14:paraId="7533F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vAlign w:val="center"/>
          </w:tcPr>
          <w:p w14:paraId="7533FF5F">
            <w:pPr>
              <w:tabs>
                <w:tab w:val="left" w:pos="1080"/>
              </w:tabs>
              <w:spacing w:line="240" w:lineRule="atLeast"/>
              <w:jc w:val="center"/>
              <w:rPr>
                <w:sz w:val="18"/>
                <w:szCs w:val="18"/>
              </w:rPr>
            </w:pPr>
            <w:r>
              <w:rPr>
                <w:rFonts w:hAnsi="宋体"/>
                <w:sz w:val="18"/>
                <w:szCs w:val="18"/>
              </w:rPr>
              <w:t>等级</w:t>
            </w:r>
          </w:p>
        </w:tc>
        <w:tc>
          <w:tcPr>
            <w:tcW w:w="3167" w:type="pct"/>
            <w:vAlign w:val="center"/>
          </w:tcPr>
          <w:p w14:paraId="7533FF60">
            <w:pPr>
              <w:tabs>
                <w:tab w:val="left" w:pos="1080"/>
              </w:tabs>
              <w:spacing w:line="240" w:lineRule="atLeast"/>
              <w:jc w:val="center"/>
              <w:rPr>
                <w:sz w:val="18"/>
                <w:szCs w:val="18"/>
              </w:rPr>
            </w:pPr>
            <w:r>
              <w:rPr>
                <w:rFonts w:hAnsi="宋体"/>
                <w:sz w:val="18"/>
                <w:szCs w:val="18"/>
              </w:rPr>
              <w:t>坍落度</w:t>
            </w:r>
            <w:r>
              <w:rPr>
                <w:sz w:val="18"/>
                <w:szCs w:val="18"/>
              </w:rPr>
              <w:t xml:space="preserve"> (mm)</w:t>
            </w:r>
          </w:p>
        </w:tc>
      </w:tr>
      <w:tr w14:paraId="7533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vAlign w:val="center"/>
          </w:tcPr>
          <w:p w14:paraId="7533FF62">
            <w:pPr>
              <w:tabs>
                <w:tab w:val="left" w:pos="1080"/>
              </w:tabs>
              <w:spacing w:line="240" w:lineRule="atLeast"/>
              <w:jc w:val="center"/>
              <w:rPr>
                <w:rFonts w:hint="eastAsia" w:hAnsi="宋体"/>
                <w:sz w:val="18"/>
                <w:szCs w:val="18"/>
              </w:rPr>
            </w:pPr>
            <w:r>
              <w:rPr>
                <w:sz w:val="18"/>
                <w:szCs w:val="18"/>
              </w:rPr>
              <w:t>S1</w:t>
            </w:r>
          </w:p>
        </w:tc>
        <w:tc>
          <w:tcPr>
            <w:tcW w:w="3167" w:type="pct"/>
            <w:vAlign w:val="center"/>
          </w:tcPr>
          <w:p w14:paraId="7533FF63">
            <w:pPr>
              <w:tabs>
                <w:tab w:val="left" w:pos="1080"/>
              </w:tabs>
              <w:spacing w:line="240" w:lineRule="atLeast"/>
              <w:jc w:val="center"/>
              <w:rPr>
                <w:rFonts w:hint="eastAsia" w:hAnsi="宋体"/>
                <w:sz w:val="18"/>
                <w:szCs w:val="18"/>
              </w:rPr>
            </w:pPr>
            <w:r>
              <w:rPr>
                <w:sz w:val="18"/>
                <w:szCs w:val="18"/>
              </w:rPr>
              <w:t>10</w:t>
            </w:r>
            <w:r>
              <w:rPr>
                <w:rFonts w:hAnsi="宋体"/>
                <w:sz w:val="18"/>
                <w:szCs w:val="18"/>
              </w:rPr>
              <w:t>～</w:t>
            </w:r>
            <w:r>
              <w:rPr>
                <w:sz w:val="18"/>
                <w:szCs w:val="18"/>
              </w:rPr>
              <w:t>40</w:t>
            </w:r>
          </w:p>
        </w:tc>
      </w:tr>
      <w:tr w14:paraId="7533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vAlign w:val="center"/>
          </w:tcPr>
          <w:p w14:paraId="7533FF65">
            <w:pPr>
              <w:tabs>
                <w:tab w:val="left" w:pos="1080"/>
              </w:tabs>
              <w:spacing w:line="240" w:lineRule="atLeast"/>
              <w:jc w:val="center"/>
              <w:rPr>
                <w:rFonts w:hint="eastAsia" w:hAnsi="宋体"/>
                <w:sz w:val="18"/>
                <w:szCs w:val="18"/>
              </w:rPr>
            </w:pPr>
            <w:r>
              <w:rPr>
                <w:sz w:val="18"/>
                <w:szCs w:val="18"/>
              </w:rPr>
              <w:t>S2</w:t>
            </w:r>
          </w:p>
        </w:tc>
        <w:tc>
          <w:tcPr>
            <w:tcW w:w="3167" w:type="pct"/>
            <w:vAlign w:val="center"/>
          </w:tcPr>
          <w:p w14:paraId="7533FF66">
            <w:pPr>
              <w:tabs>
                <w:tab w:val="left" w:pos="1080"/>
              </w:tabs>
              <w:spacing w:line="240" w:lineRule="atLeast"/>
              <w:jc w:val="center"/>
              <w:rPr>
                <w:rFonts w:hint="eastAsia" w:hAnsi="宋体"/>
                <w:sz w:val="18"/>
                <w:szCs w:val="18"/>
              </w:rPr>
            </w:pPr>
            <w:r>
              <w:rPr>
                <w:sz w:val="18"/>
                <w:szCs w:val="18"/>
              </w:rPr>
              <w:t>50</w:t>
            </w:r>
            <w:r>
              <w:rPr>
                <w:rFonts w:hAnsi="宋体"/>
                <w:sz w:val="18"/>
                <w:szCs w:val="18"/>
              </w:rPr>
              <w:t>～</w:t>
            </w:r>
            <w:r>
              <w:rPr>
                <w:sz w:val="18"/>
                <w:szCs w:val="18"/>
              </w:rPr>
              <w:t>90</w:t>
            </w:r>
          </w:p>
        </w:tc>
      </w:tr>
      <w:tr w14:paraId="7533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vAlign w:val="center"/>
          </w:tcPr>
          <w:p w14:paraId="7533FF68">
            <w:pPr>
              <w:tabs>
                <w:tab w:val="left" w:pos="1080"/>
              </w:tabs>
              <w:spacing w:line="240" w:lineRule="atLeast"/>
              <w:jc w:val="center"/>
              <w:rPr>
                <w:rFonts w:hint="eastAsia" w:hAnsi="宋体"/>
                <w:sz w:val="18"/>
                <w:szCs w:val="18"/>
              </w:rPr>
            </w:pPr>
            <w:r>
              <w:rPr>
                <w:sz w:val="18"/>
                <w:szCs w:val="18"/>
              </w:rPr>
              <w:t>S3</w:t>
            </w:r>
          </w:p>
        </w:tc>
        <w:tc>
          <w:tcPr>
            <w:tcW w:w="3167" w:type="pct"/>
            <w:vAlign w:val="center"/>
          </w:tcPr>
          <w:p w14:paraId="7533FF69">
            <w:pPr>
              <w:tabs>
                <w:tab w:val="left" w:pos="1080"/>
              </w:tabs>
              <w:spacing w:line="240" w:lineRule="atLeast"/>
              <w:jc w:val="center"/>
              <w:rPr>
                <w:rFonts w:hint="eastAsia" w:hAnsi="宋体"/>
                <w:sz w:val="18"/>
                <w:szCs w:val="18"/>
              </w:rPr>
            </w:pPr>
            <w:r>
              <w:rPr>
                <w:sz w:val="18"/>
                <w:szCs w:val="18"/>
              </w:rPr>
              <w:t>100</w:t>
            </w:r>
            <w:r>
              <w:rPr>
                <w:rFonts w:hAnsi="宋体"/>
                <w:sz w:val="18"/>
                <w:szCs w:val="18"/>
              </w:rPr>
              <w:t>～</w:t>
            </w:r>
            <w:r>
              <w:rPr>
                <w:sz w:val="18"/>
                <w:szCs w:val="18"/>
              </w:rPr>
              <w:t>150</w:t>
            </w:r>
          </w:p>
        </w:tc>
      </w:tr>
      <w:tr w14:paraId="7533F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vAlign w:val="center"/>
          </w:tcPr>
          <w:p w14:paraId="7533FF6B">
            <w:pPr>
              <w:tabs>
                <w:tab w:val="left" w:pos="1080"/>
              </w:tabs>
              <w:spacing w:line="240" w:lineRule="atLeast"/>
              <w:jc w:val="center"/>
              <w:rPr>
                <w:rFonts w:hint="eastAsia" w:hAnsi="宋体"/>
                <w:sz w:val="18"/>
                <w:szCs w:val="18"/>
              </w:rPr>
            </w:pPr>
            <w:r>
              <w:rPr>
                <w:sz w:val="18"/>
                <w:szCs w:val="18"/>
              </w:rPr>
              <w:t>S4</w:t>
            </w:r>
          </w:p>
        </w:tc>
        <w:tc>
          <w:tcPr>
            <w:tcW w:w="3167" w:type="pct"/>
            <w:vAlign w:val="center"/>
          </w:tcPr>
          <w:p w14:paraId="7533FF6C">
            <w:pPr>
              <w:tabs>
                <w:tab w:val="left" w:pos="1080"/>
              </w:tabs>
              <w:spacing w:line="240" w:lineRule="atLeast"/>
              <w:jc w:val="center"/>
              <w:rPr>
                <w:rFonts w:hint="eastAsia" w:hAnsi="宋体"/>
                <w:sz w:val="18"/>
                <w:szCs w:val="18"/>
              </w:rPr>
            </w:pPr>
            <w:r>
              <w:rPr>
                <w:sz w:val="18"/>
                <w:szCs w:val="18"/>
              </w:rPr>
              <w:t>160</w:t>
            </w:r>
            <w:r>
              <w:rPr>
                <w:rFonts w:hAnsi="宋体"/>
                <w:sz w:val="18"/>
                <w:szCs w:val="18"/>
              </w:rPr>
              <w:t>～</w:t>
            </w:r>
            <w:r>
              <w:rPr>
                <w:sz w:val="18"/>
                <w:szCs w:val="18"/>
              </w:rPr>
              <w:t>210</w:t>
            </w:r>
          </w:p>
        </w:tc>
      </w:tr>
      <w:tr w14:paraId="7533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vAlign w:val="center"/>
          </w:tcPr>
          <w:p w14:paraId="7533FF6E">
            <w:pPr>
              <w:tabs>
                <w:tab w:val="left" w:pos="1080"/>
              </w:tabs>
              <w:spacing w:line="240" w:lineRule="atLeast"/>
              <w:jc w:val="center"/>
              <w:rPr>
                <w:sz w:val="18"/>
                <w:szCs w:val="18"/>
              </w:rPr>
            </w:pPr>
            <w:r>
              <w:rPr>
                <w:sz w:val="18"/>
                <w:szCs w:val="18"/>
              </w:rPr>
              <w:t>S5</w:t>
            </w:r>
          </w:p>
        </w:tc>
        <w:tc>
          <w:tcPr>
            <w:tcW w:w="3167" w:type="pct"/>
            <w:vAlign w:val="center"/>
          </w:tcPr>
          <w:p w14:paraId="7533FF6F">
            <w:pPr>
              <w:tabs>
                <w:tab w:val="left" w:pos="1080"/>
              </w:tabs>
              <w:spacing w:line="240" w:lineRule="atLeast"/>
              <w:jc w:val="center"/>
              <w:rPr>
                <w:rFonts w:hint="eastAsia" w:hAnsi="宋体"/>
                <w:sz w:val="18"/>
                <w:szCs w:val="18"/>
              </w:rPr>
            </w:pPr>
            <w:r>
              <w:rPr>
                <w:sz w:val="18"/>
                <w:szCs w:val="18"/>
              </w:rPr>
              <w:sym w:font="Symbol" w:char="F0B3"/>
            </w:r>
            <w:r>
              <w:rPr>
                <w:sz w:val="18"/>
                <w:szCs w:val="18"/>
              </w:rPr>
              <w:t>220</w:t>
            </w:r>
          </w:p>
        </w:tc>
      </w:tr>
    </w:tbl>
    <w:p w14:paraId="7533FF71">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表3.1.2-2  混凝土拌合物的维勃稠度等级划分</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4"/>
        <w:gridCol w:w="5398"/>
      </w:tblGrid>
      <w:tr w14:paraId="7533F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Borders>
              <w:bottom w:val="single" w:color="auto" w:sz="4" w:space="0"/>
            </w:tcBorders>
          </w:tcPr>
          <w:p w14:paraId="7533FF72">
            <w:pPr>
              <w:tabs>
                <w:tab w:val="left" w:pos="1080"/>
              </w:tabs>
              <w:spacing w:line="240" w:lineRule="atLeast"/>
              <w:jc w:val="center"/>
              <w:rPr>
                <w:sz w:val="18"/>
                <w:szCs w:val="18"/>
              </w:rPr>
            </w:pPr>
            <w:r>
              <w:rPr>
                <w:rFonts w:hAnsi="宋体"/>
                <w:sz w:val="18"/>
                <w:szCs w:val="18"/>
              </w:rPr>
              <w:t>等级</w:t>
            </w:r>
          </w:p>
        </w:tc>
        <w:tc>
          <w:tcPr>
            <w:tcW w:w="3167" w:type="pct"/>
            <w:tcBorders>
              <w:bottom w:val="single" w:color="auto" w:sz="4" w:space="0"/>
            </w:tcBorders>
          </w:tcPr>
          <w:p w14:paraId="7533FF73">
            <w:pPr>
              <w:tabs>
                <w:tab w:val="left" w:pos="1080"/>
              </w:tabs>
              <w:spacing w:line="240" w:lineRule="atLeast"/>
              <w:jc w:val="center"/>
              <w:rPr>
                <w:sz w:val="18"/>
                <w:szCs w:val="18"/>
              </w:rPr>
            </w:pPr>
            <w:r>
              <w:rPr>
                <w:rFonts w:hAnsi="宋体"/>
                <w:sz w:val="18"/>
                <w:szCs w:val="18"/>
              </w:rPr>
              <w:t>维勃稠度</w:t>
            </w:r>
            <w:r>
              <w:rPr>
                <w:sz w:val="18"/>
                <w:szCs w:val="18"/>
              </w:rPr>
              <w:t xml:space="preserve"> (s)</w:t>
            </w:r>
          </w:p>
        </w:tc>
      </w:tr>
      <w:tr w14:paraId="7533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Borders>
              <w:bottom w:val="single" w:color="auto" w:sz="4" w:space="0"/>
            </w:tcBorders>
          </w:tcPr>
          <w:p w14:paraId="7533FF75">
            <w:pPr>
              <w:tabs>
                <w:tab w:val="left" w:pos="1080"/>
              </w:tabs>
              <w:spacing w:line="240" w:lineRule="atLeast"/>
              <w:jc w:val="center"/>
              <w:rPr>
                <w:sz w:val="18"/>
                <w:szCs w:val="18"/>
              </w:rPr>
            </w:pPr>
            <w:r>
              <w:rPr>
                <w:sz w:val="18"/>
                <w:szCs w:val="18"/>
              </w:rPr>
              <w:t>V0</w:t>
            </w:r>
          </w:p>
        </w:tc>
        <w:tc>
          <w:tcPr>
            <w:tcW w:w="3167" w:type="pct"/>
            <w:tcBorders>
              <w:bottom w:val="single" w:color="auto" w:sz="4" w:space="0"/>
            </w:tcBorders>
          </w:tcPr>
          <w:p w14:paraId="7533FF76">
            <w:pPr>
              <w:tabs>
                <w:tab w:val="left" w:pos="1080"/>
              </w:tabs>
              <w:spacing w:line="240" w:lineRule="atLeast"/>
              <w:jc w:val="center"/>
              <w:rPr>
                <w:sz w:val="18"/>
                <w:szCs w:val="18"/>
              </w:rPr>
            </w:pPr>
            <w:r>
              <w:rPr>
                <w:sz w:val="18"/>
                <w:szCs w:val="18"/>
              </w:rPr>
              <w:sym w:font="Symbol" w:char="F0B3"/>
            </w:r>
            <w:r>
              <w:rPr>
                <w:sz w:val="18"/>
                <w:szCs w:val="18"/>
              </w:rPr>
              <w:t>31</w:t>
            </w:r>
          </w:p>
        </w:tc>
      </w:tr>
      <w:tr w14:paraId="7533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Borders>
              <w:top w:val="single" w:color="auto" w:sz="4" w:space="0"/>
              <w:bottom w:val="single" w:color="auto" w:sz="4" w:space="0"/>
            </w:tcBorders>
          </w:tcPr>
          <w:p w14:paraId="7533FF78">
            <w:pPr>
              <w:tabs>
                <w:tab w:val="left" w:pos="1080"/>
              </w:tabs>
              <w:spacing w:line="240" w:lineRule="atLeast"/>
              <w:jc w:val="center"/>
              <w:rPr>
                <w:sz w:val="18"/>
                <w:szCs w:val="18"/>
              </w:rPr>
            </w:pPr>
            <w:r>
              <w:rPr>
                <w:sz w:val="18"/>
                <w:szCs w:val="18"/>
              </w:rPr>
              <w:t>V1</w:t>
            </w:r>
          </w:p>
        </w:tc>
        <w:tc>
          <w:tcPr>
            <w:tcW w:w="3167" w:type="pct"/>
            <w:tcBorders>
              <w:top w:val="single" w:color="auto" w:sz="4" w:space="0"/>
              <w:bottom w:val="single" w:color="auto" w:sz="4" w:space="0"/>
            </w:tcBorders>
          </w:tcPr>
          <w:p w14:paraId="7533FF79">
            <w:pPr>
              <w:tabs>
                <w:tab w:val="left" w:pos="1080"/>
              </w:tabs>
              <w:spacing w:line="240" w:lineRule="atLeast"/>
              <w:jc w:val="center"/>
              <w:rPr>
                <w:sz w:val="18"/>
                <w:szCs w:val="18"/>
              </w:rPr>
            </w:pPr>
            <w:r>
              <w:rPr>
                <w:sz w:val="18"/>
                <w:szCs w:val="18"/>
              </w:rPr>
              <w:t>30</w:t>
            </w:r>
            <w:r>
              <w:rPr>
                <w:rFonts w:hAnsi="宋体"/>
                <w:sz w:val="18"/>
                <w:szCs w:val="18"/>
              </w:rPr>
              <w:t>～</w:t>
            </w:r>
            <w:r>
              <w:rPr>
                <w:sz w:val="18"/>
                <w:szCs w:val="18"/>
              </w:rPr>
              <w:t>21</w:t>
            </w:r>
          </w:p>
        </w:tc>
      </w:tr>
      <w:tr w14:paraId="7533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Borders>
              <w:top w:val="single" w:color="auto" w:sz="4" w:space="0"/>
              <w:bottom w:val="single" w:color="auto" w:sz="4" w:space="0"/>
            </w:tcBorders>
          </w:tcPr>
          <w:p w14:paraId="7533FF7B">
            <w:pPr>
              <w:tabs>
                <w:tab w:val="left" w:pos="1080"/>
              </w:tabs>
              <w:spacing w:line="240" w:lineRule="atLeast"/>
              <w:jc w:val="center"/>
              <w:rPr>
                <w:sz w:val="18"/>
                <w:szCs w:val="18"/>
              </w:rPr>
            </w:pPr>
            <w:r>
              <w:rPr>
                <w:sz w:val="18"/>
                <w:szCs w:val="18"/>
              </w:rPr>
              <w:t>V2</w:t>
            </w:r>
          </w:p>
        </w:tc>
        <w:tc>
          <w:tcPr>
            <w:tcW w:w="3167" w:type="pct"/>
            <w:tcBorders>
              <w:top w:val="single" w:color="auto" w:sz="4" w:space="0"/>
              <w:bottom w:val="single" w:color="auto" w:sz="4" w:space="0"/>
            </w:tcBorders>
          </w:tcPr>
          <w:p w14:paraId="7533FF7C">
            <w:pPr>
              <w:tabs>
                <w:tab w:val="left" w:pos="1080"/>
              </w:tabs>
              <w:spacing w:line="240" w:lineRule="atLeast"/>
              <w:jc w:val="center"/>
              <w:rPr>
                <w:sz w:val="18"/>
                <w:szCs w:val="18"/>
              </w:rPr>
            </w:pPr>
            <w:r>
              <w:rPr>
                <w:sz w:val="18"/>
                <w:szCs w:val="18"/>
              </w:rPr>
              <w:t>20</w:t>
            </w:r>
            <w:r>
              <w:rPr>
                <w:rFonts w:hAnsi="宋体"/>
                <w:sz w:val="18"/>
                <w:szCs w:val="18"/>
              </w:rPr>
              <w:t>～</w:t>
            </w:r>
            <w:r>
              <w:rPr>
                <w:sz w:val="18"/>
                <w:szCs w:val="18"/>
              </w:rPr>
              <w:t>11</w:t>
            </w:r>
          </w:p>
        </w:tc>
      </w:tr>
      <w:tr w14:paraId="7533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Borders>
              <w:top w:val="single" w:color="auto" w:sz="4" w:space="0"/>
              <w:bottom w:val="single" w:color="auto" w:sz="4" w:space="0"/>
            </w:tcBorders>
          </w:tcPr>
          <w:p w14:paraId="7533FF7E">
            <w:pPr>
              <w:tabs>
                <w:tab w:val="left" w:pos="1080"/>
              </w:tabs>
              <w:spacing w:line="240" w:lineRule="atLeast"/>
              <w:jc w:val="center"/>
              <w:rPr>
                <w:sz w:val="18"/>
                <w:szCs w:val="18"/>
              </w:rPr>
            </w:pPr>
            <w:r>
              <w:rPr>
                <w:sz w:val="18"/>
                <w:szCs w:val="18"/>
              </w:rPr>
              <w:t>V3</w:t>
            </w:r>
          </w:p>
        </w:tc>
        <w:tc>
          <w:tcPr>
            <w:tcW w:w="3167" w:type="pct"/>
            <w:tcBorders>
              <w:top w:val="single" w:color="auto" w:sz="4" w:space="0"/>
              <w:bottom w:val="single" w:color="auto" w:sz="4" w:space="0"/>
            </w:tcBorders>
          </w:tcPr>
          <w:p w14:paraId="7533FF7F">
            <w:pPr>
              <w:tabs>
                <w:tab w:val="left" w:pos="1080"/>
              </w:tabs>
              <w:spacing w:line="240" w:lineRule="atLeast"/>
              <w:jc w:val="center"/>
              <w:rPr>
                <w:sz w:val="18"/>
                <w:szCs w:val="18"/>
              </w:rPr>
            </w:pPr>
            <w:r>
              <w:rPr>
                <w:sz w:val="18"/>
                <w:szCs w:val="18"/>
              </w:rPr>
              <w:t>10</w:t>
            </w:r>
            <w:r>
              <w:rPr>
                <w:rFonts w:hAnsi="宋体"/>
                <w:sz w:val="18"/>
                <w:szCs w:val="18"/>
              </w:rPr>
              <w:t>～</w:t>
            </w:r>
            <w:r>
              <w:rPr>
                <w:sz w:val="18"/>
                <w:szCs w:val="18"/>
              </w:rPr>
              <w:t>6</w:t>
            </w:r>
          </w:p>
        </w:tc>
      </w:tr>
      <w:tr w14:paraId="7533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Borders>
              <w:top w:val="single" w:color="auto" w:sz="4" w:space="0"/>
            </w:tcBorders>
          </w:tcPr>
          <w:p w14:paraId="7533FF81">
            <w:pPr>
              <w:tabs>
                <w:tab w:val="left" w:pos="1080"/>
              </w:tabs>
              <w:spacing w:line="240" w:lineRule="atLeast"/>
              <w:jc w:val="center"/>
              <w:rPr>
                <w:sz w:val="18"/>
                <w:szCs w:val="18"/>
              </w:rPr>
            </w:pPr>
            <w:r>
              <w:rPr>
                <w:sz w:val="18"/>
                <w:szCs w:val="18"/>
              </w:rPr>
              <w:t>V4</w:t>
            </w:r>
          </w:p>
        </w:tc>
        <w:tc>
          <w:tcPr>
            <w:tcW w:w="3167" w:type="pct"/>
            <w:tcBorders>
              <w:top w:val="single" w:color="auto" w:sz="4" w:space="0"/>
            </w:tcBorders>
          </w:tcPr>
          <w:p w14:paraId="7533FF82">
            <w:pPr>
              <w:tabs>
                <w:tab w:val="left" w:pos="1080"/>
              </w:tabs>
              <w:spacing w:line="240" w:lineRule="atLeast"/>
              <w:jc w:val="center"/>
              <w:rPr>
                <w:sz w:val="18"/>
                <w:szCs w:val="18"/>
              </w:rPr>
            </w:pPr>
            <w:r>
              <w:rPr>
                <w:sz w:val="18"/>
                <w:szCs w:val="18"/>
              </w:rPr>
              <w:t>5</w:t>
            </w:r>
            <w:r>
              <w:rPr>
                <w:rFonts w:hAnsi="宋体"/>
                <w:sz w:val="18"/>
                <w:szCs w:val="18"/>
              </w:rPr>
              <w:t>～</w:t>
            </w:r>
            <w:r>
              <w:rPr>
                <w:sz w:val="18"/>
                <w:szCs w:val="18"/>
              </w:rPr>
              <w:t>3</w:t>
            </w:r>
          </w:p>
        </w:tc>
      </w:tr>
    </w:tbl>
    <w:p w14:paraId="7533FF84">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表3.1.2-3  混凝土拌合物的扩展度等级划分</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4"/>
        <w:gridCol w:w="5398"/>
      </w:tblGrid>
      <w:tr w14:paraId="7533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Pr>
          <w:p w14:paraId="7533FF85">
            <w:pPr>
              <w:tabs>
                <w:tab w:val="left" w:pos="1080"/>
              </w:tabs>
              <w:spacing w:line="240" w:lineRule="atLeast"/>
              <w:jc w:val="center"/>
              <w:rPr>
                <w:sz w:val="18"/>
                <w:szCs w:val="18"/>
              </w:rPr>
            </w:pPr>
            <w:r>
              <w:rPr>
                <w:rFonts w:hAnsi="宋体"/>
                <w:sz w:val="18"/>
                <w:szCs w:val="18"/>
              </w:rPr>
              <w:t>等级</w:t>
            </w:r>
          </w:p>
        </w:tc>
        <w:tc>
          <w:tcPr>
            <w:tcW w:w="3167" w:type="pct"/>
          </w:tcPr>
          <w:p w14:paraId="7533FF86">
            <w:pPr>
              <w:tabs>
                <w:tab w:val="left" w:pos="1080"/>
              </w:tabs>
              <w:spacing w:line="240" w:lineRule="atLeast"/>
              <w:jc w:val="center"/>
              <w:rPr>
                <w:sz w:val="18"/>
                <w:szCs w:val="18"/>
              </w:rPr>
            </w:pPr>
            <w:r>
              <w:rPr>
                <w:rFonts w:hAnsi="宋体"/>
                <w:sz w:val="18"/>
                <w:szCs w:val="18"/>
              </w:rPr>
              <w:t>扩展直径</w:t>
            </w:r>
            <w:r>
              <w:rPr>
                <w:sz w:val="18"/>
                <w:szCs w:val="18"/>
              </w:rPr>
              <w:t xml:space="preserve"> (mm)</w:t>
            </w:r>
          </w:p>
        </w:tc>
      </w:tr>
      <w:tr w14:paraId="7533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Pr>
          <w:p w14:paraId="7533FF88">
            <w:pPr>
              <w:tabs>
                <w:tab w:val="left" w:pos="1080"/>
              </w:tabs>
              <w:spacing w:line="240" w:lineRule="atLeast"/>
              <w:jc w:val="center"/>
              <w:rPr>
                <w:sz w:val="18"/>
                <w:szCs w:val="18"/>
              </w:rPr>
            </w:pPr>
            <w:r>
              <w:rPr>
                <w:sz w:val="18"/>
                <w:szCs w:val="18"/>
              </w:rPr>
              <w:t>F1</w:t>
            </w:r>
          </w:p>
        </w:tc>
        <w:tc>
          <w:tcPr>
            <w:tcW w:w="3167" w:type="pct"/>
          </w:tcPr>
          <w:p w14:paraId="7533FF89">
            <w:pPr>
              <w:tabs>
                <w:tab w:val="left" w:pos="1080"/>
              </w:tabs>
              <w:spacing w:line="240" w:lineRule="atLeast"/>
              <w:jc w:val="center"/>
              <w:rPr>
                <w:sz w:val="18"/>
                <w:szCs w:val="18"/>
              </w:rPr>
            </w:pPr>
            <w:r>
              <w:rPr>
                <w:sz w:val="18"/>
                <w:szCs w:val="18"/>
              </w:rPr>
              <w:sym w:font="Symbol" w:char="F0A3"/>
            </w:r>
            <w:r>
              <w:rPr>
                <w:sz w:val="18"/>
                <w:szCs w:val="18"/>
              </w:rPr>
              <w:t>340</w:t>
            </w:r>
          </w:p>
        </w:tc>
      </w:tr>
      <w:tr w14:paraId="7533F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Pr>
          <w:p w14:paraId="7533FF8B">
            <w:pPr>
              <w:tabs>
                <w:tab w:val="left" w:pos="1080"/>
              </w:tabs>
              <w:spacing w:line="240" w:lineRule="atLeast"/>
              <w:jc w:val="center"/>
              <w:rPr>
                <w:sz w:val="18"/>
                <w:szCs w:val="18"/>
              </w:rPr>
            </w:pPr>
            <w:r>
              <w:rPr>
                <w:sz w:val="18"/>
                <w:szCs w:val="18"/>
              </w:rPr>
              <w:t>F2</w:t>
            </w:r>
          </w:p>
        </w:tc>
        <w:tc>
          <w:tcPr>
            <w:tcW w:w="3167" w:type="pct"/>
          </w:tcPr>
          <w:p w14:paraId="7533FF8C">
            <w:pPr>
              <w:tabs>
                <w:tab w:val="left" w:pos="1080"/>
              </w:tabs>
              <w:spacing w:line="240" w:lineRule="atLeast"/>
              <w:jc w:val="center"/>
              <w:rPr>
                <w:sz w:val="18"/>
                <w:szCs w:val="18"/>
              </w:rPr>
            </w:pPr>
            <w:r>
              <w:rPr>
                <w:sz w:val="18"/>
                <w:szCs w:val="18"/>
              </w:rPr>
              <w:t>350</w:t>
            </w:r>
            <w:r>
              <w:rPr>
                <w:rFonts w:hAnsi="宋体"/>
                <w:sz w:val="18"/>
                <w:szCs w:val="18"/>
              </w:rPr>
              <w:t>～</w:t>
            </w:r>
            <w:r>
              <w:rPr>
                <w:sz w:val="18"/>
                <w:szCs w:val="18"/>
              </w:rPr>
              <w:t>410</w:t>
            </w:r>
          </w:p>
        </w:tc>
      </w:tr>
      <w:tr w14:paraId="7533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Pr>
          <w:p w14:paraId="7533FF8E">
            <w:pPr>
              <w:tabs>
                <w:tab w:val="left" w:pos="1080"/>
              </w:tabs>
              <w:spacing w:line="240" w:lineRule="atLeast"/>
              <w:jc w:val="center"/>
              <w:rPr>
                <w:sz w:val="18"/>
                <w:szCs w:val="18"/>
              </w:rPr>
            </w:pPr>
            <w:r>
              <w:rPr>
                <w:sz w:val="18"/>
                <w:szCs w:val="18"/>
              </w:rPr>
              <w:t>F3</w:t>
            </w:r>
          </w:p>
        </w:tc>
        <w:tc>
          <w:tcPr>
            <w:tcW w:w="3167" w:type="pct"/>
          </w:tcPr>
          <w:p w14:paraId="7533FF8F">
            <w:pPr>
              <w:tabs>
                <w:tab w:val="left" w:pos="1080"/>
              </w:tabs>
              <w:spacing w:line="240" w:lineRule="atLeast"/>
              <w:jc w:val="center"/>
              <w:rPr>
                <w:sz w:val="18"/>
                <w:szCs w:val="18"/>
              </w:rPr>
            </w:pPr>
            <w:r>
              <w:rPr>
                <w:sz w:val="18"/>
                <w:szCs w:val="18"/>
              </w:rPr>
              <w:t>420</w:t>
            </w:r>
            <w:r>
              <w:rPr>
                <w:rFonts w:hAnsi="宋体"/>
                <w:sz w:val="18"/>
                <w:szCs w:val="18"/>
              </w:rPr>
              <w:t>～</w:t>
            </w:r>
            <w:r>
              <w:rPr>
                <w:sz w:val="18"/>
                <w:szCs w:val="18"/>
              </w:rPr>
              <w:t>480</w:t>
            </w:r>
          </w:p>
        </w:tc>
      </w:tr>
      <w:tr w14:paraId="7533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Pr>
          <w:p w14:paraId="7533FF91">
            <w:pPr>
              <w:tabs>
                <w:tab w:val="left" w:pos="1080"/>
              </w:tabs>
              <w:spacing w:line="240" w:lineRule="atLeast"/>
              <w:jc w:val="center"/>
              <w:rPr>
                <w:sz w:val="18"/>
                <w:szCs w:val="18"/>
              </w:rPr>
            </w:pPr>
            <w:r>
              <w:rPr>
                <w:sz w:val="18"/>
                <w:szCs w:val="18"/>
              </w:rPr>
              <w:t>F4</w:t>
            </w:r>
          </w:p>
        </w:tc>
        <w:tc>
          <w:tcPr>
            <w:tcW w:w="3167" w:type="pct"/>
          </w:tcPr>
          <w:p w14:paraId="7533FF92">
            <w:pPr>
              <w:tabs>
                <w:tab w:val="left" w:pos="1080"/>
              </w:tabs>
              <w:spacing w:line="240" w:lineRule="atLeast"/>
              <w:jc w:val="center"/>
              <w:rPr>
                <w:sz w:val="18"/>
                <w:szCs w:val="18"/>
              </w:rPr>
            </w:pPr>
            <w:r>
              <w:rPr>
                <w:sz w:val="18"/>
                <w:szCs w:val="18"/>
              </w:rPr>
              <w:t>490</w:t>
            </w:r>
            <w:r>
              <w:rPr>
                <w:rFonts w:hAnsi="宋体"/>
                <w:sz w:val="18"/>
                <w:szCs w:val="18"/>
              </w:rPr>
              <w:t>～</w:t>
            </w:r>
            <w:r>
              <w:rPr>
                <w:sz w:val="18"/>
                <w:szCs w:val="18"/>
              </w:rPr>
              <w:t>550</w:t>
            </w:r>
          </w:p>
        </w:tc>
      </w:tr>
      <w:tr w14:paraId="7533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Pr>
          <w:p w14:paraId="7533FF94">
            <w:pPr>
              <w:tabs>
                <w:tab w:val="left" w:pos="1080"/>
              </w:tabs>
              <w:spacing w:line="240" w:lineRule="atLeast"/>
              <w:jc w:val="center"/>
              <w:rPr>
                <w:sz w:val="18"/>
                <w:szCs w:val="18"/>
              </w:rPr>
            </w:pPr>
            <w:r>
              <w:rPr>
                <w:sz w:val="18"/>
                <w:szCs w:val="18"/>
              </w:rPr>
              <w:t>F5</w:t>
            </w:r>
          </w:p>
        </w:tc>
        <w:tc>
          <w:tcPr>
            <w:tcW w:w="3167" w:type="pct"/>
          </w:tcPr>
          <w:p w14:paraId="7533FF95">
            <w:pPr>
              <w:tabs>
                <w:tab w:val="left" w:pos="1080"/>
              </w:tabs>
              <w:spacing w:line="240" w:lineRule="atLeast"/>
              <w:jc w:val="center"/>
              <w:rPr>
                <w:sz w:val="18"/>
                <w:szCs w:val="18"/>
              </w:rPr>
            </w:pPr>
            <w:r>
              <w:rPr>
                <w:sz w:val="18"/>
                <w:szCs w:val="18"/>
              </w:rPr>
              <w:t>560</w:t>
            </w:r>
            <w:r>
              <w:rPr>
                <w:rFonts w:hAnsi="宋体"/>
                <w:sz w:val="18"/>
                <w:szCs w:val="18"/>
              </w:rPr>
              <w:t>～</w:t>
            </w:r>
            <w:r>
              <w:rPr>
                <w:sz w:val="18"/>
                <w:szCs w:val="18"/>
              </w:rPr>
              <w:t>620</w:t>
            </w:r>
          </w:p>
        </w:tc>
      </w:tr>
      <w:tr w14:paraId="7533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pct"/>
          </w:tcPr>
          <w:p w14:paraId="7533FF97">
            <w:pPr>
              <w:tabs>
                <w:tab w:val="left" w:pos="1080"/>
              </w:tabs>
              <w:spacing w:line="240" w:lineRule="atLeast"/>
              <w:jc w:val="center"/>
              <w:rPr>
                <w:sz w:val="18"/>
                <w:szCs w:val="18"/>
              </w:rPr>
            </w:pPr>
            <w:r>
              <w:rPr>
                <w:sz w:val="18"/>
                <w:szCs w:val="18"/>
              </w:rPr>
              <w:t>F6</w:t>
            </w:r>
          </w:p>
        </w:tc>
        <w:tc>
          <w:tcPr>
            <w:tcW w:w="3167" w:type="pct"/>
          </w:tcPr>
          <w:p w14:paraId="7533FF98">
            <w:pPr>
              <w:tabs>
                <w:tab w:val="left" w:pos="1080"/>
              </w:tabs>
              <w:spacing w:line="240" w:lineRule="atLeast"/>
              <w:jc w:val="center"/>
              <w:rPr>
                <w:sz w:val="18"/>
                <w:szCs w:val="18"/>
              </w:rPr>
            </w:pPr>
            <w:r>
              <w:rPr>
                <w:sz w:val="18"/>
                <w:szCs w:val="18"/>
              </w:rPr>
              <w:sym w:font="Symbol" w:char="F0B3"/>
            </w:r>
            <w:r>
              <w:rPr>
                <w:sz w:val="18"/>
                <w:szCs w:val="18"/>
              </w:rPr>
              <w:t>630</w:t>
            </w:r>
          </w:p>
        </w:tc>
      </w:tr>
    </w:tbl>
    <w:p w14:paraId="7533FF9A">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表3.1.2-4  混凝土拌合物稠度允许偏差</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0"/>
        <w:gridCol w:w="1651"/>
        <w:gridCol w:w="1655"/>
        <w:gridCol w:w="1660"/>
        <w:gridCol w:w="1660"/>
      </w:tblGrid>
      <w:tr w14:paraId="0B7B3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blHeader/>
        </w:trPr>
        <w:tc>
          <w:tcPr>
            <w:tcW w:w="3321" w:type="dxa"/>
            <w:gridSpan w:val="2"/>
            <w:vAlign w:val="center"/>
          </w:tcPr>
          <w:p w14:paraId="4CA3F456">
            <w:pPr>
              <w:tabs>
                <w:tab w:val="left" w:pos="1080"/>
              </w:tabs>
              <w:jc w:val="center"/>
              <w:rPr>
                <w:sz w:val="18"/>
                <w:szCs w:val="18"/>
              </w:rPr>
            </w:pPr>
            <w:r>
              <w:rPr>
                <w:rFonts w:hint="eastAsia"/>
                <w:sz w:val="18"/>
                <w:szCs w:val="18"/>
              </w:rPr>
              <w:t>拌合物性能</w:t>
            </w:r>
          </w:p>
        </w:tc>
        <w:tc>
          <w:tcPr>
            <w:tcW w:w="4975" w:type="dxa"/>
            <w:gridSpan w:val="3"/>
            <w:vAlign w:val="center"/>
          </w:tcPr>
          <w:p w14:paraId="48E16F64">
            <w:pPr>
              <w:tabs>
                <w:tab w:val="left" w:pos="1080"/>
              </w:tabs>
              <w:jc w:val="center"/>
              <w:rPr>
                <w:sz w:val="18"/>
                <w:szCs w:val="18"/>
              </w:rPr>
            </w:pPr>
            <w:r>
              <w:rPr>
                <w:rFonts w:hint="eastAsia"/>
                <w:sz w:val="18"/>
                <w:szCs w:val="18"/>
              </w:rPr>
              <w:t>允许偏差</w:t>
            </w:r>
          </w:p>
        </w:tc>
      </w:tr>
      <w:tr w14:paraId="4994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restart"/>
            <w:vAlign w:val="center"/>
          </w:tcPr>
          <w:p w14:paraId="11AA487B">
            <w:pPr>
              <w:tabs>
                <w:tab w:val="left" w:pos="1080"/>
              </w:tabs>
              <w:spacing w:line="240" w:lineRule="atLeast"/>
              <w:jc w:val="center"/>
              <w:rPr>
                <w:sz w:val="18"/>
                <w:szCs w:val="18"/>
              </w:rPr>
            </w:pPr>
            <w:r>
              <w:rPr>
                <w:sz w:val="18"/>
                <w:szCs w:val="18"/>
              </w:rPr>
              <w:t>坍落度（mm）</w:t>
            </w:r>
          </w:p>
        </w:tc>
        <w:tc>
          <w:tcPr>
            <w:tcW w:w="1651" w:type="dxa"/>
            <w:vAlign w:val="center"/>
          </w:tcPr>
          <w:p w14:paraId="4CAB5FBD">
            <w:pPr>
              <w:tabs>
                <w:tab w:val="left" w:pos="1080"/>
              </w:tabs>
              <w:spacing w:line="240" w:lineRule="atLeast"/>
              <w:jc w:val="center"/>
              <w:rPr>
                <w:sz w:val="18"/>
                <w:szCs w:val="18"/>
              </w:rPr>
            </w:pPr>
            <w:r>
              <w:rPr>
                <w:sz w:val="18"/>
                <w:szCs w:val="18"/>
              </w:rPr>
              <w:t>设计值</w:t>
            </w:r>
          </w:p>
        </w:tc>
        <w:tc>
          <w:tcPr>
            <w:tcW w:w="1655" w:type="dxa"/>
            <w:vAlign w:val="center"/>
          </w:tcPr>
          <w:p w14:paraId="6584B352">
            <w:pPr>
              <w:tabs>
                <w:tab w:val="left" w:pos="1080"/>
              </w:tabs>
              <w:spacing w:line="240" w:lineRule="atLeast"/>
              <w:jc w:val="center"/>
              <w:rPr>
                <w:sz w:val="18"/>
                <w:szCs w:val="18"/>
              </w:rPr>
            </w:pPr>
            <w:r>
              <w:rPr>
                <w:sz w:val="18"/>
                <w:szCs w:val="18"/>
              </w:rPr>
              <w:sym w:font="Symbol" w:char="F0A3"/>
            </w:r>
            <w:r>
              <w:rPr>
                <w:sz w:val="18"/>
                <w:szCs w:val="18"/>
              </w:rPr>
              <w:t>40</w:t>
            </w:r>
          </w:p>
        </w:tc>
        <w:tc>
          <w:tcPr>
            <w:tcW w:w="1660" w:type="dxa"/>
            <w:vAlign w:val="center"/>
          </w:tcPr>
          <w:p w14:paraId="2EE02C94">
            <w:pPr>
              <w:tabs>
                <w:tab w:val="left" w:pos="1080"/>
              </w:tabs>
              <w:spacing w:line="240" w:lineRule="atLeast"/>
              <w:jc w:val="center"/>
              <w:rPr>
                <w:sz w:val="18"/>
                <w:szCs w:val="18"/>
              </w:rPr>
            </w:pPr>
            <w:r>
              <w:rPr>
                <w:sz w:val="18"/>
                <w:szCs w:val="18"/>
              </w:rPr>
              <w:t>50～90</w:t>
            </w:r>
          </w:p>
        </w:tc>
        <w:tc>
          <w:tcPr>
            <w:tcW w:w="1660" w:type="dxa"/>
            <w:vAlign w:val="center"/>
          </w:tcPr>
          <w:p w14:paraId="691AF0CC">
            <w:pPr>
              <w:tabs>
                <w:tab w:val="left" w:pos="1080"/>
              </w:tabs>
              <w:spacing w:line="240" w:lineRule="atLeast"/>
              <w:jc w:val="center"/>
              <w:rPr>
                <w:sz w:val="18"/>
                <w:szCs w:val="18"/>
              </w:rPr>
            </w:pPr>
            <w:r>
              <w:rPr>
                <w:sz w:val="18"/>
                <w:szCs w:val="18"/>
              </w:rPr>
              <w:sym w:font="Symbol" w:char="F0B3"/>
            </w:r>
            <w:r>
              <w:rPr>
                <w:sz w:val="18"/>
                <w:szCs w:val="18"/>
              </w:rPr>
              <w:t>100</w:t>
            </w:r>
          </w:p>
        </w:tc>
      </w:tr>
      <w:tr w14:paraId="5765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continue"/>
            <w:vAlign w:val="center"/>
          </w:tcPr>
          <w:p w14:paraId="664EFE04">
            <w:pPr>
              <w:tabs>
                <w:tab w:val="left" w:pos="1080"/>
              </w:tabs>
              <w:spacing w:line="240" w:lineRule="atLeast"/>
              <w:jc w:val="center"/>
              <w:rPr>
                <w:sz w:val="18"/>
                <w:szCs w:val="18"/>
              </w:rPr>
            </w:pPr>
          </w:p>
        </w:tc>
        <w:tc>
          <w:tcPr>
            <w:tcW w:w="1651" w:type="dxa"/>
            <w:vAlign w:val="center"/>
          </w:tcPr>
          <w:p w14:paraId="7F73C2BB">
            <w:pPr>
              <w:tabs>
                <w:tab w:val="left" w:pos="1080"/>
              </w:tabs>
              <w:spacing w:line="240" w:lineRule="atLeast"/>
              <w:jc w:val="center"/>
              <w:rPr>
                <w:sz w:val="18"/>
                <w:szCs w:val="18"/>
              </w:rPr>
            </w:pPr>
            <w:r>
              <w:rPr>
                <w:sz w:val="18"/>
                <w:szCs w:val="18"/>
              </w:rPr>
              <w:t>允许偏差</w:t>
            </w:r>
          </w:p>
        </w:tc>
        <w:tc>
          <w:tcPr>
            <w:tcW w:w="1655" w:type="dxa"/>
            <w:vAlign w:val="center"/>
          </w:tcPr>
          <w:p w14:paraId="170273A0">
            <w:pPr>
              <w:tabs>
                <w:tab w:val="left" w:pos="1080"/>
              </w:tabs>
              <w:spacing w:line="240" w:lineRule="atLeast"/>
              <w:jc w:val="center"/>
              <w:rPr>
                <w:sz w:val="18"/>
                <w:szCs w:val="18"/>
              </w:rPr>
            </w:pPr>
            <w:r>
              <w:rPr>
                <w:sz w:val="18"/>
                <w:szCs w:val="18"/>
              </w:rPr>
              <w:sym w:font="Symbol" w:char="F0B1"/>
            </w:r>
            <w:r>
              <w:rPr>
                <w:sz w:val="18"/>
                <w:szCs w:val="18"/>
              </w:rPr>
              <w:t>10</w:t>
            </w:r>
          </w:p>
        </w:tc>
        <w:tc>
          <w:tcPr>
            <w:tcW w:w="1660" w:type="dxa"/>
            <w:vAlign w:val="center"/>
          </w:tcPr>
          <w:p w14:paraId="541A85FC">
            <w:pPr>
              <w:tabs>
                <w:tab w:val="left" w:pos="1080"/>
              </w:tabs>
              <w:spacing w:line="240" w:lineRule="atLeast"/>
              <w:jc w:val="center"/>
              <w:rPr>
                <w:sz w:val="18"/>
                <w:szCs w:val="18"/>
              </w:rPr>
            </w:pPr>
            <w:r>
              <w:rPr>
                <w:sz w:val="18"/>
                <w:szCs w:val="18"/>
              </w:rPr>
              <w:sym w:font="Symbol" w:char="F0B1"/>
            </w:r>
            <w:r>
              <w:rPr>
                <w:sz w:val="18"/>
                <w:szCs w:val="18"/>
              </w:rPr>
              <w:t>20</w:t>
            </w:r>
          </w:p>
        </w:tc>
        <w:tc>
          <w:tcPr>
            <w:tcW w:w="1660" w:type="dxa"/>
            <w:vAlign w:val="center"/>
          </w:tcPr>
          <w:p w14:paraId="1892EB9E">
            <w:pPr>
              <w:tabs>
                <w:tab w:val="left" w:pos="1080"/>
              </w:tabs>
              <w:spacing w:line="240" w:lineRule="atLeast"/>
              <w:jc w:val="center"/>
              <w:rPr>
                <w:sz w:val="18"/>
                <w:szCs w:val="18"/>
              </w:rPr>
            </w:pPr>
            <w:r>
              <w:rPr>
                <w:sz w:val="18"/>
                <w:szCs w:val="18"/>
              </w:rPr>
              <w:sym w:font="Symbol" w:char="F0B1"/>
            </w:r>
            <w:r>
              <w:rPr>
                <w:sz w:val="18"/>
                <w:szCs w:val="18"/>
              </w:rPr>
              <w:t>30</w:t>
            </w:r>
          </w:p>
        </w:tc>
      </w:tr>
      <w:tr w14:paraId="6C16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restart"/>
            <w:vAlign w:val="center"/>
          </w:tcPr>
          <w:p w14:paraId="75E081A6">
            <w:pPr>
              <w:tabs>
                <w:tab w:val="left" w:pos="1080"/>
              </w:tabs>
              <w:spacing w:line="240" w:lineRule="atLeast"/>
              <w:jc w:val="center"/>
              <w:rPr>
                <w:sz w:val="18"/>
                <w:szCs w:val="18"/>
              </w:rPr>
            </w:pPr>
            <w:r>
              <w:rPr>
                <w:sz w:val="18"/>
                <w:szCs w:val="18"/>
              </w:rPr>
              <w:t>维勃稠度（s）</w:t>
            </w:r>
          </w:p>
        </w:tc>
        <w:tc>
          <w:tcPr>
            <w:tcW w:w="1651" w:type="dxa"/>
            <w:vAlign w:val="center"/>
          </w:tcPr>
          <w:p w14:paraId="40DAA408">
            <w:pPr>
              <w:tabs>
                <w:tab w:val="left" w:pos="1080"/>
              </w:tabs>
              <w:spacing w:line="240" w:lineRule="atLeast"/>
              <w:jc w:val="center"/>
              <w:rPr>
                <w:sz w:val="18"/>
                <w:szCs w:val="18"/>
              </w:rPr>
            </w:pPr>
            <w:r>
              <w:rPr>
                <w:sz w:val="18"/>
                <w:szCs w:val="18"/>
              </w:rPr>
              <w:t>设计值</w:t>
            </w:r>
          </w:p>
        </w:tc>
        <w:tc>
          <w:tcPr>
            <w:tcW w:w="1655" w:type="dxa"/>
            <w:vAlign w:val="center"/>
          </w:tcPr>
          <w:p w14:paraId="1ED3A1F2">
            <w:pPr>
              <w:tabs>
                <w:tab w:val="left" w:pos="1080"/>
              </w:tabs>
              <w:spacing w:line="240" w:lineRule="atLeast"/>
              <w:jc w:val="center"/>
              <w:rPr>
                <w:sz w:val="18"/>
                <w:szCs w:val="18"/>
              </w:rPr>
            </w:pPr>
            <w:r>
              <w:rPr>
                <w:sz w:val="18"/>
                <w:szCs w:val="18"/>
              </w:rPr>
              <w:sym w:font="Symbol" w:char="F0B3"/>
            </w:r>
            <w:r>
              <w:rPr>
                <w:sz w:val="18"/>
                <w:szCs w:val="18"/>
              </w:rPr>
              <w:t>11</w:t>
            </w:r>
          </w:p>
        </w:tc>
        <w:tc>
          <w:tcPr>
            <w:tcW w:w="1660" w:type="dxa"/>
            <w:vAlign w:val="center"/>
          </w:tcPr>
          <w:p w14:paraId="37F88EFD">
            <w:pPr>
              <w:tabs>
                <w:tab w:val="left" w:pos="1080"/>
              </w:tabs>
              <w:spacing w:line="240" w:lineRule="atLeast"/>
              <w:jc w:val="center"/>
              <w:rPr>
                <w:sz w:val="18"/>
                <w:szCs w:val="18"/>
              </w:rPr>
            </w:pPr>
            <w:r>
              <w:rPr>
                <w:sz w:val="18"/>
                <w:szCs w:val="18"/>
              </w:rPr>
              <w:t>10～6</w:t>
            </w:r>
          </w:p>
        </w:tc>
        <w:tc>
          <w:tcPr>
            <w:tcW w:w="1660" w:type="dxa"/>
            <w:vAlign w:val="center"/>
          </w:tcPr>
          <w:p w14:paraId="55926417">
            <w:pPr>
              <w:tabs>
                <w:tab w:val="left" w:pos="1080"/>
              </w:tabs>
              <w:spacing w:line="240" w:lineRule="atLeast"/>
              <w:jc w:val="center"/>
              <w:rPr>
                <w:sz w:val="18"/>
                <w:szCs w:val="18"/>
              </w:rPr>
            </w:pPr>
            <w:r>
              <w:rPr>
                <w:sz w:val="18"/>
                <w:szCs w:val="18"/>
              </w:rPr>
              <w:sym w:font="Symbol" w:char="F0A3"/>
            </w:r>
            <w:r>
              <w:rPr>
                <w:sz w:val="18"/>
                <w:szCs w:val="18"/>
              </w:rPr>
              <w:t>5</w:t>
            </w:r>
          </w:p>
        </w:tc>
      </w:tr>
      <w:tr w14:paraId="25B7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continue"/>
            <w:vAlign w:val="center"/>
          </w:tcPr>
          <w:p w14:paraId="3A34D989">
            <w:pPr>
              <w:tabs>
                <w:tab w:val="left" w:pos="1080"/>
              </w:tabs>
              <w:spacing w:line="240" w:lineRule="atLeast"/>
              <w:jc w:val="center"/>
              <w:rPr>
                <w:sz w:val="18"/>
                <w:szCs w:val="18"/>
              </w:rPr>
            </w:pPr>
          </w:p>
        </w:tc>
        <w:tc>
          <w:tcPr>
            <w:tcW w:w="1651" w:type="dxa"/>
            <w:vAlign w:val="center"/>
          </w:tcPr>
          <w:p w14:paraId="188A3869">
            <w:pPr>
              <w:tabs>
                <w:tab w:val="left" w:pos="1080"/>
              </w:tabs>
              <w:spacing w:line="240" w:lineRule="atLeast"/>
              <w:jc w:val="center"/>
              <w:rPr>
                <w:sz w:val="18"/>
                <w:szCs w:val="18"/>
              </w:rPr>
            </w:pPr>
            <w:r>
              <w:rPr>
                <w:sz w:val="18"/>
                <w:szCs w:val="18"/>
              </w:rPr>
              <w:t>允许偏差</w:t>
            </w:r>
          </w:p>
        </w:tc>
        <w:tc>
          <w:tcPr>
            <w:tcW w:w="1655" w:type="dxa"/>
            <w:vAlign w:val="center"/>
          </w:tcPr>
          <w:p w14:paraId="09A2CD3E">
            <w:pPr>
              <w:tabs>
                <w:tab w:val="left" w:pos="1080"/>
              </w:tabs>
              <w:spacing w:line="240" w:lineRule="atLeast"/>
              <w:jc w:val="center"/>
              <w:rPr>
                <w:sz w:val="18"/>
                <w:szCs w:val="18"/>
              </w:rPr>
            </w:pPr>
            <w:r>
              <w:rPr>
                <w:sz w:val="18"/>
                <w:szCs w:val="18"/>
              </w:rPr>
              <w:sym w:font="Symbol" w:char="F0B1"/>
            </w:r>
            <w:r>
              <w:rPr>
                <w:sz w:val="18"/>
                <w:szCs w:val="18"/>
              </w:rPr>
              <w:t>3</w:t>
            </w:r>
          </w:p>
        </w:tc>
        <w:tc>
          <w:tcPr>
            <w:tcW w:w="1660" w:type="dxa"/>
            <w:vAlign w:val="center"/>
          </w:tcPr>
          <w:p w14:paraId="45A886BC">
            <w:pPr>
              <w:tabs>
                <w:tab w:val="left" w:pos="1080"/>
              </w:tabs>
              <w:spacing w:line="240" w:lineRule="atLeast"/>
              <w:jc w:val="center"/>
              <w:rPr>
                <w:sz w:val="18"/>
                <w:szCs w:val="18"/>
              </w:rPr>
            </w:pPr>
            <w:r>
              <w:rPr>
                <w:sz w:val="18"/>
                <w:szCs w:val="18"/>
              </w:rPr>
              <w:sym w:font="Symbol" w:char="F0B1"/>
            </w:r>
            <w:r>
              <w:rPr>
                <w:sz w:val="18"/>
                <w:szCs w:val="18"/>
              </w:rPr>
              <w:t>2</w:t>
            </w:r>
          </w:p>
        </w:tc>
        <w:tc>
          <w:tcPr>
            <w:tcW w:w="1660" w:type="dxa"/>
            <w:vAlign w:val="center"/>
          </w:tcPr>
          <w:p w14:paraId="6D45B183">
            <w:pPr>
              <w:tabs>
                <w:tab w:val="left" w:pos="1080"/>
              </w:tabs>
              <w:spacing w:line="240" w:lineRule="atLeast"/>
              <w:jc w:val="center"/>
              <w:rPr>
                <w:sz w:val="18"/>
                <w:szCs w:val="18"/>
              </w:rPr>
            </w:pPr>
            <w:r>
              <w:rPr>
                <w:sz w:val="18"/>
                <w:szCs w:val="18"/>
              </w:rPr>
              <w:sym w:font="Symbol" w:char="F0B1"/>
            </w:r>
            <w:r>
              <w:rPr>
                <w:sz w:val="18"/>
                <w:szCs w:val="18"/>
              </w:rPr>
              <w:t>1</w:t>
            </w:r>
          </w:p>
        </w:tc>
      </w:tr>
      <w:tr w14:paraId="2748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restart"/>
            <w:vAlign w:val="center"/>
          </w:tcPr>
          <w:p w14:paraId="19095942">
            <w:pPr>
              <w:tabs>
                <w:tab w:val="left" w:pos="1080"/>
              </w:tabs>
              <w:spacing w:line="240" w:lineRule="atLeast"/>
              <w:jc w:val="center"/>
              <w:rPr>
                <w:sz w:val="18"/>
                <w:szCs w:val="18"/>
              </w:rPr>
            </w:pPr>
            <w:r>
              <w:rPr>
                <w:sz w:val="18"/>
                <w:szCs w:val="18"/>
              </w:rPr>
              <w:t>扩展度（mm）</w:t>
            </w:r>
          </w:p>
        </w:tc>
        <w:tc>
          <w:tcPr>
            <w:tcW w:w="1651" w:type="dxa"/>
            <w:vAlign w:val="center"/>
          </w:tcPr>
          <w:p w14:paraId="16B2010F">
            <w:pPr>
              <w:tabs>
                <w:tab w:val="left" w:pos="1080"/>
              </w:tabs>
              <w:spacing w:line="240" w:lineRule="atLeast"/>
              <w:jc w:val="center"/>
              <w:rPr>
                <w:sz w:val="18"/>
                <w:szCs w:val="18"/>
              </w:rPr>
            </w:pPr>
            <w:r>
              <w:rPr>
                <w:sz w:val="18"/>
                <w:szCs w:val="18"/>
              </w:rPr>
              <w:t>设计值</w:t>
            </w:r>
          </w:p>
        </w:tc>
        <w:tc>
          <w:tcPr>
            <w:tcW w:w="4975" w:type="dxa"/>
            <w:gridSpan w:val="3"/>
            <w:vAlign w:val="center"/>
          </w:tcPr>
          <w:p w14:paraId="45DF6C3F">
            <w:pPr>
              <w:tabs>
                <w:tab w:val="left" w:pos="1080"/>
              </w:tabs>
              <w:spacing w:line="240" w:lineRule="atLeast"/>
              <w:jc w:val="center"/>
              <w:rPr>
                <w:sz w:val="18"/>
                <w:szCs w:val="18"/>
              </w:rPr>
            </w:pPr>
            <w:r>
              <w:rPr>
                <w:sz w:val="18"/>
                <w:szCs w:val="18"/>
              </w:rPr>
              <w:sym w:font="Symbol" w:char="F0B3"/>
            </w:r>
            <w:r>
              <w:rPr>
                <w:sz w:val="18"/>
                <w:szCs w:val="18"/>
              </w:rPr>
              <w:t>350</w:t>
            </w:r>
          </w:p>
        </w:tc>
      </w:tr>
      <w:tr w14:paraId="72DF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continue"/>
            <w:vAlign w:val="center"/>
          </w:tcPr>
          <w:p w14:paraId="26F7A1A1">
            <w:pPr>
              <w:tabs>
                <w:tab w:val="left" w:pos="1080"/>
              </w:tabs>
              <w:spacing w:line="240" w:lineRule="atLeast"/>
              <w:jc w:val="center"/>
              <w:rPr>
                <w:sz w:val="18"/>
                <w:szCs w:val="18"/>
              </w:rPr>
            </w:pPr>
          </w:p>
        </w:tc>
        <w:tc>
          <w:tcPr>
            <w:tcW w:w="1651" w:type="dxa"/>
            <w:vAlign w:val="center"/>
          </w:tcPr>
          <w:p w14:paraId="05005FE1">
            <w:pPr>
              <w:tabs>
                <w:tab w:val="left" w:pos="1080"/>
              </w:tabs>
              <w:spacing w:line="240" w:lineRule="atLeast"/>
              <w:jc w:val="center"/>
              <w:rPr>
                <w:sz w:val="18"/>
                <w:szCs w:val="18"/>
              </w:rPr>
            </w:pPr>
            <w:r>
              <w:rPr>
                <w:sz w:val="18"/>
                <w:szCs w:val="18"/>
              </w:rPr>
              <w:t>允许偏差</w:t>
            </w:r>
          </w:p>
        </w:tc>
        <w:tc>
          <w:tcPr>
            <w:tcW w:w="4975" w:type="dxa"/>
            <w:gridSpan w:val="3"/>
            <w:vAlign w:val="center"/>
          </w:tcPr>
          <w:p w14:paraId="7A6AEBAA">
            <w:pPr>
              <w:tabs>
                <w:tab w:val="left" w:pos="1080"/>
              </w:tabs>
              <w:spacing w:line="240" w:lineRule="atLeast"/>
              <w:jc w:val="center"/>
              <w:rPr>
                <w:sz w:val="18"/>
                <w:szCs w:val="18"/>
              </w:rPr>
            </w:pPr>
            <w:r>
              <w:rPr>
                <w:sz w:val="18"/>
                <w:szCs w:val="18"/>
              </w:rPr>
              <w:sym w:font="Symbol" w:char="F0B1"/>
            </w:r>
            <w:r>
              <w:rPr>
                <w:sz w:val="18"/>
                <w:szCs w:val="18"/>
              </w:rPr>
              <w:t>30</w:t>
            </w:r>
          </w:p>
        </w:tc>
      </w:tr>
    </w:tbl>
    <w:p w14:paraId="7533FFC0">
      <w:pPr>
        <w:spacing w:line="300" w:lineRule="auto"/>
        <w:rPr>
          <w:kern w:val="0"/>
          <w:szCs w:val="21"/>
        </w:rPr>
      </w:pPr>
      <w:r>
        <w:rPr>
          <w:b/>
          <w:szCs w:val="21"/>
        </w:rPr>
        <w:t xml:space="preserve">3.1.3 </w:t>
      </w:r>
      <w:r>
        <w:rPr>
          <w:szCs w:val="21"/>
        </w:rPr>
        <w:t xml:space="preserve"> </w:t>
      </w:r>
      <w:r>
        <w:rPr>
          <w:rFonts w:hAnsi="宋体"/>
          <w:szCs w:val="21"/>
        </w:rPr>
        <w:t>混凝土拌合物</w:t>
      </w:r>
      <w:r>
        <w:rPr>
          <w:rFonts w:hAnsi="宋体"/>
          <w:kern w:val="0"/>
          <w:szCs w:val="21"/>
        </w:rPr>
        <w:t>应在满足施工要求的前提下，尽可能采用较小的坍落度；泵送混凝土</w:t>
      </w:r>
      <w:r>
        <w:rPr>
          <w:rFonts w:hAnsi="宋体"/>
          <w:szCs w:val="21"/>
        </w:rPr>
        <w:t>拌合物</w:t>
      </w:r>
      <w:r>
        <w:rPr>
          <w:rFonts w:hAnsi="宋体"/>
          <w:kern w:val="0"/>
          <w:szCs w:val="21"/>
        </w:rPr>
        <w:t>坍落度</w:t>
      </w:r>
      <w:r>
        <w:rPr>
          <w:rFonts w:hint="eastAsia" w:hAnsi="宋体"/>
          <w:kern w:val="0"/>
          <w:szCs w:val="21"/>
        </w:rPr>
        <w:t>设计值</w:t>
      </w:r>
      <w:r>
        <w:rPr>
          <w:rFonts w:hAnsi="宋体"/>
          <w:kern w:val="0"/>
          <w:szCs w:val="21"/>
        </w:rPr>
        <w:t>不宜大于</w:t>
      </w:r>
      <w:r>
        <w:rPr>
          <w:kern w:val="0"/>
          <w:szCs w:val="21"/>
        </w:rPr>
        <w:t>180mm</w:t>
      </w:r>
      <w:r>
        <w:rPr>
          <w:rFonts w:hAnsi="宋体"/>
          <w:kern w:val="0"/>
          <w:szCs w:val="21"/>
        </w:rPr>
        <w:t>。</w:t>
      </w:r>
    </w:p>
    <w:p w14:paraId="7533FFC1">
      <w:pPr>
        <w:spacing w:line="300" w:lineRule="auto"/>
        <w:rPr>
          <w:szCs w:val="21"/>
        </w:rPr>
      </w:pPr>
      <w:r>
        <w:rPr>
          <w:b/>
          <w:szCs w:val="21"/>
        </w:rPr>
        <w:t>3.1.4</w:t>
      </w:r>
      <w:r>
        <w:rPr>
          <w:szCs w:val="21"/>
        </w:rPr>
        <w:t xml:space="preserve">  </w:t>
      </w:r>
      <w:r>
        <w:rPr>
          <w:rFonts w:hAnsi="宋体"/>
          <w:kern w:val="0"/>
          <w:szCs w:val="21"/>
        </w:rPr>
        <w:t>泵送高强混凝土的</w:t>
      </w:r>
      <w:r>
        <w:rPr>
          <w:rFonts w:hint="eastAsia" w:hAnsi="宋体"/>
          <w:kern w:val="0"/>
          <w:szCs w:val="21"/>
        </w:rPr>
        <w:t>坍落度不宜小于</w:t>
      </w:r>
      <w:r>
        <w:rPr>
          <w:rFonts w:hAnsi="宋体"/>
          <w:kern w:val="0"/>
          <w:szCs w:val="21"/>
        </w:rPr>
        <w:t>220mm</w:t>
      </w:r>
      <w:r>
        <w:rPr>
          <w:rFonts w:hint="eastAsia" w:hAnsi="宋体"/>
          <w:kern w:val="0"/>
          <w:szCs w:val="21"/>
        </w:rPr>
        <w:t>，</w:t>
      </w:r>
      <w:r>
        <w:rPr>
          <w:rFonts w:hAnsi="宋体"/>
          <w:kern w:val="0"/>
          <w:szCs w:val="21"/>
        </w:rPr>
        <w:t>扩展度不宜小于</w:t>
      </w:r>
      <w:r>
        <w:rPr>
          <w:kern w:val="0"/>
          <w:szCs w:val="21"/>
        </w:rPr>
        <w:t>500mm</w:t>
      </w:r>
      <w:r>
        <w:rPr>
          <w:rFonts w:hAnsi="宋体"/>
          <w:kern w:val="0"/>
          <w:szCs w:val="21"/>
        </w:rPr>
        <w:t>；自密实混凝土的扩展度不宜小于</w:t>
      </w:r>
      <w:r>
        <w:rPr>
          <w:kern w:val="0"/>
          <w:szCs w:val="21"/>
        </w:rPr>
        <w:t>600mm</w:t>
      </w:r>
      <w:r>
        <w:rPr>
          <w:rFonts w:hAnsi="宋体"/>
          <w:kern w:val="0"/>
          <w:szCs w:val="21"/>
        </w:rPr>
        <w:t>。</w:t>
      </w:r>
    </w:p>
    <w:p w14:paraId="7533FFC2">
      <w:pPr>
        <w:spacing w:line="300" w:lineRule="auto"/>
        <w:rPr>
          <w:kern w:val="0"/>
          <w:szCs w:val="21"/>
        </w:rPr>
      </w:pPr>
      <w:r>
        <w:rPr>
          <w:b/>
          <w:szCs w:val="21"/>
        </w:rPr>
        <w:t xml:space="preserve">3.1.5 </w:t>
      </w:r>
      <w:r>
        <w:rPr>
          <w:szCs w:val="21"/>
        </w:rPr>
        <w:t xml:space="preserve"> </w:t>
      </w:r>
      <w:r>
        <w:rPr>
          <w:rFonts w:hAnsi="宋体"/>
          <w:szCs w:val="21"/>
        </w:rPr>
        <w:t>混凝土拌合物的</w:t>
      </w:r>
      <w:r>
        <w:rPr>
          <w:rFonts w:hAnsi="宋体"/>
          <w:kern w:val="0"/>
          <w:szCs w:val="21"/>
        </w:rPr>
        <w:t>坍落度经时损失不应影响混凝土的正常施工。</w:t>
      </w:r>
      <w:r>
        <w:rPr>
          <w:rFonts w:hAnsi="宋体"/>
          <w:szCs w:val="21"/>
        </w:rPr>
        <w:t>泵送混凝土拌合物的</w:t>
      </w:r>
      <w:r>
        <w:rPr>
          <w:rFonts w:hAnsi="宋体"/>
          <w:kern w:val="0"/>
          <w:szCs w:val="21"/>
        </w:rPr>
        <w:t>坍落度经时损失不宜大于</w:t>
      </w:r>
      <w:r>
        <w:rPr>
          <w:kern w:val="0"/>
          <w:szCs w:val="21"/>
        </w:rPr>
        <w:t>30mm/h</w:t>
      </w:r>
      <w:r>
        <w:rPr>
          <w:rFonts w:hAnsi="宋体"/>
          <w:kern w:val="0"/>
          <w:szCs w:val="21"/>
        </w:rPr>
        <w:t>。</w:t>
      </w:r>
    </w:p>
    <w:p w14:paraId="7533FFC3">
      <w:pPr>
        <w:spacing w:line="300" w:lineRule="auto"/>
        <w:rPr>
          <w:rFonts w:hint="eastAsia" w:hAnsi="宋体"/>
          <w:szCs w:val="21"/>
        </w:rPr>
      </w:pPr>
      <w:r>
        <w:rPr>
          <w:b/>
          <w:szCs w:val="21"/>
        </w:rPr>
        <w:t xml:space="preserve">3.1.6 </w:t>
      </w:r>
      <w:r>
        <w:rPr>
          <w:szCs w:val="21"/>
        </w:rPr>
        <w:t xml:space="preserve"> </w:t>
      </w:r>
      <w:r>
        <w:rPr>
          <w:rFonts w:hAnsi="宋体"/>
          <w:szCs w:val="21"/>
        </w:rPr>
        <w:t>混凝土拌合物应具有良好的和易性，</w:t>
      </w:r>
      <w:r>
        <w:rPr>
          <w:rFonts w:hint="eastAsia" w:hAnsi="宋体"/>
          <w:szCs w:val="21"/>
        </w:rPr>
        <w:t>不应</w:t>
      </w:r>
      <w:r>
        <w:rPr>
          <w:rFonts w:hAnsi="宋体"/>
          <w:szCs w:val="21"/>
        </w:rPr>
        <w:t>离析或泌水。</w:t>
      </w:r>
    </w:p>
    <w:p w14:paraId="7533FFC4">
      <w:pPr>
        <w:spacing w:line="300" w:lineRule="auto"/>
        <w:rPr>
          <w:rFonts w:hint="eastAsia" w:hAnsi="宋体"/>
          <w:szCs w:val="21"/>
        </w:rPr>
      </w:pPr>
      <w:r>
        <w:rPr>
          <w:b/>
          <w:szCs w:val="21"/>
        </w:rPr>
        <w:t xml:space="preserve">3.1.7 </w:t>
      </w:r>
      <w:r>
        <w:rPr>
          <w:szCs w:val="21"/>
        </w:rPr>
        <w:t xml:space="preserve"> </w:t>
      </w:r>
      <w:r>
        <w:rPr>
          <w:rFonts w:hAnsi="宋体"/>
          <w:szCs w:val="21"/>
        </w:rPr>
        <w:t>混凝土拌合物的凝结时间应满足施工要求和混凝土性能要求。</w:t>
      </w:r>
    </w:p>
    <w:p w14:paraId="7533FFC5">
      <w:pPr>
        <w:spacing w:line="300" w:lineRule="auto"/>
      </w:pPr>
      <w:r>
        <w:rPr>
          <w:b/>
          <w:szCs w:val="21"/>
        </w:rPr>
        <w:t>3.1.8</w:t>
      </w:r>
      <w:r>
        <w:rPr>
          <w:szCs w:val="21"/>
        </w:rPr>
        <w:t xml:space="preserve">  </w:t>
      </w:r>
      <w:bookmarkStart w:id="69" w:name="_Hlk164023188"/>
      <w:bookmarkStart w:id="70" w:name="_Hlk128218672"/>
      <w:r>
        <w:rPr>
          <w:szCs w:val="21"/>
        </w:rPr>
        <w:t>混凝土拌合物中水溶性氯离子最大含量</w:t>
      </w:r>
      <w:bookmarkEnd w:id="69"/>
      <w:bookmarkEnd w:id="70"/>
      <w:r>
        <w:rPr>
          <w:rFonts w:hint="eastAsia"/>
        </w:rPr>
        <w:t>实测值</w:t>
      </w:r>
      <w:r>
        <w:t>应符合表</w:t>
      </w:r>
      <w:r>
        <w:rPr>
          <w:rFonts w:hint="eastAsia"/>
        </w:rPr>
        <w:t>3.1.8</w:t>
      </w:r>
      <w:r>
        <w:t>的规定。</w:t>
      </w:r>
      <w:r>
        <w:rPr>
          <w:rFonts w:hint="eastAsia"/>
        </w:rPr>
        <w:t>混凝土拌合物中水溶性氯离子含量应按照现行行业标准</w:t>
      </w:r>
      <w:bookmarkStart w:id="71" w:name="_Hlk146815381"/>
      <w:r>
        <w:rPr>
          <w:rFonts w:hint="eastAsia"/>
        </w:rPr>
        <w:t>《混凝土中氯离子含量检测技术规程》</w:t>
      </w:r>
      <w:r>
        <w:rPr>
          <w:szCs w:val="21"/>
        </w:rPr>
        <w:t>JGJ/T 322</w:t>
      </w:r>
      <w:bookmarkEnd w:id="71"/>
      <w:r>
        <w:rPr>
          <w:rFonts w:hint="eastAsia"/>
          <w:szCs w:val="21"/>
        </w:rPr>
        <w:t>的方法进行测定。水溶性氯离子含量测试结果数据处理时，辅助胶凝材料的量不应大于硅酸盐水泥的量。硅酸盐水泥的量为水泥用量减去混合材用量。水泥中的混合材掺量应按水泥厂家提供的出厂数据确定。</w:t>
      </w:r>
    </w:p>
    <w:p w14:paraId="7533FFC6">
      <w:pPr>
        <w:topLinePunct/>
        <w:adjustRightInd w:val="0"/>
        <w:spacing w:before="156" w:beforeLines="50"/>
        <w:jc w:val="center"/>
        <w:rPr>
          <w:rFonts w:hint="eastAsia" w:ascii="黑体" w:hAnsi="宋体" w:eastAsia="黑体"/>
          <w:sz w:val="18"/>
          <w:szCs w:val="18"/>
        </w:rPr>
      </w:pPr>
      <w:r>
        <w:rPr>
          <w:rFonts w:hint="eastAsia" w:ascii="黑体" w:hAnsi="宋体" w:eastAsia="黑体"/>
          <w:sz w:val="18"/>
          <w:szCs w:val="18"/>
        </w:rPr>
        <w:t>表3.1.8  混凝土拌合物中水溶性氯离子最大含量实测值</w:t>
      </w:r>
    </w:p>
    <w:tbl>
      <w:tblPr>
        <w:tblStyle w:val="16"/>
        <w:tblW w:w="48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5"/>
        <w:gridCol w:w="2075"/>
        <w:gridCol w:w="1746"/>
        <w:gridCol w:w="1784"/>
      </w:tblGrid>
      <w:tr w14:paraId="7533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1" w:type="pct"/>
            <w:vMerge w:val="restart"/>
            <w:vAlign w:val="center"/>
          </w:tcPr>
          <w:p w14:paraId="7533FFC7">
            <w:pPr>
              <w:jc w:val="center"/>
              <w:rPr>
                <w:sz w:val="18"/>
                <w:szCs w:val="18"/>
              </w:rPr>
            </w:pPr>
            <w:r>
              <w:rPr>
                <w:sz w:val="18"/>
                <w:szCs w:val="18"/>
              </w:rPr>
              <w:t>环境条件</w:t>
            </w:r>
          </w:p>
        </w:tc>
        <w:tc>
          <w:tcPr>
            <w:tcW w:w="3409" w:type="pct"/>
            <w:gridSpan w:val="3"/>
            <w:vAlign w:val="center"/>
          </w:tcPr>
          <w:p w14:paraId="7533FFC8">
            <w:pPr>
              <w:jc w:val="center"/>
              <w:rPr>
                <w:sz w:val="18"/>
                <w:szCs w:val="18"/>
              </w:rPr>
            </w:pPr>
            <w:bookmarkStart w:id="72" w:name="_Hlk164023247"/>
            <w:r>
              <w:rPr>
                <w:sz w:val="18"/>
                <w:szCs w:val="18"/>
              </w:rPr>
              <w:t>水溶性氯离子最大含量</w:t>
            </w:r>
            <w:bookmarkEnd w:id="72"/>
            <w:r>
              <w:rPr>
                <w:rFonts w:hint="eastAsia"/>
                <w:sz w:val="18"/>
                <w:szCs w:val="18"/>
              </w:rPr>
              <w:t>（%，按胶凝材料用量的质量百分比计）</w:t>
            </w:r>
          </w:p>
        </w:tc>
      </w:tr>
      <w:tr w14:paraId="7533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1" w:type="pct"/>
            <w:vMerge w:val="continue"/>
            <w:vAlign w:val="center"/>
          </w:tcPr>
          <w:p w14:paraId="7533FFCA">
            <w:pPr>
              <w:jc w:val="center"/>
              <w:rPr>
                <w:sz w:val="18"/>
                <w:szCs w:val="18"/>
              </w:rPr>
            </w:pPr>
          </w:p>
        </w:tc>
        <w:tc>
          <w:tcPr>
            <w:tcW w:w="1262" w:type="pct"/>
            <w:vAlign w:val="center"/>
          </w:tcPr>
          <w:p w14:paraId="7533FFCB">
            <w:pPr>
              <w:jc w:val="center"/>
              <w:rPr>
                <w:sz w:val="18"/>
                <w:szCs w:val="18"/>
              </w:rPr>
            </w:pPr>
            <w:r>
              <w:rPr>
                <w:sz w:val="18"/>
                <w:szCs w:val="18"/>
              </w:rPr>
              <w:t>钢筋混凝土</w:t>
            </w:r>
          </w:p>
        </w:tc>
        <w:tc>
          <w:tcPr>
            <w:tcW w:w="1062" w:type="pct"/>
            <w:vAlign w:val="center"/>
          </w:tcPr>
          <w:p w14:paraId="7533FFCC">
            <w:pPr>
              <w:jc w:val="center"/>
              <w:rPr>
                <w:sz w:val="18"/>
                <w:szCs w:val="18"/>
              </w:rPr>
            </w:pPr>
            <w:r>
              <w:rPr>
                <w:sz w:val="18"/>
                <w:szCs w:val="18"/>
              </w:rPr>
              <w:t>预应力混凝土</w:t>
            </w:r>
          </w:p>
        </w:tc>
        <w:tc>
          <w:tcPr>
            <w:tcW w:w="1085" w:type="pct"/>
            <w:vAlign w:val="center"/>
          </w:tcPr>
          <w:p w14:paraId="7533FFCD">
            <w:pPr>
              <w:jc w:val="center"/>
              <w:rPr>
                <w:sz w:val="18"/>
                <w:szCs w:val="18"/>
              </w:rPr>
            </w:pPr>
            <w:r>
              <w:rPr>
                <w:sz w:val="18"/>
                <w:szCs w:val="18"/>
              </w:rPr>
              <w:t>素混凝土</w:t>
            </w:r>
          </w:p>
        </w:tc>
      </w:tr>
      <w:tr w14:paraId="7533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1" w:type="pct"/>
            <w:vAlign w:val="center"/>
          </w:tcPr>
          <w:p w14:paraId="7533FFCF">
            <w:pPr>
              <w:tabs>
                <w:tab w:val="left" w:pos="1080"/>
              </w:tabs>
              <w:jc w:val="center"/>
              <w:rPr>
                <w:sz w:val="18"/>
                <w:szCs w:val="18"/>
              </w:rPr>
            </w:pPr>
            <w:r>
              <w:rPr>
                <w:sz w:val="18"/>
                <w:szCs w:val="18"/>
              </w:rPr>
              <w:t>干燥环境</w:t>
            </w:r>
          </w:p>
        </w:tc>
        <w:tc>
          <w:tcPr>
            <w:tcW w:w="1262" w:type="pct"/>
            <w:vAlign w:val="center"/>
          </w:tcPr>
          <w:p w14:paraId="7533FFD0">
            <w:pPr>
              <w:jc w:val="center"/>
              <w:rPr>
                <w:sz w:val="18"/>
                <w:szCs w:val="18"/>
              </w:rPr>
            </w:pPr>
            <w:r>
              <w:rPr>
                <w:sz w:val="18"/>
                <w:szCs w:val="18"/>
              </w:rPr>
              <w:t>0.3</w:t>
            </w:r>
            <w:r>
              <w:rPr>
                <w:rFonts w:hint="eastAsia"/>
                <w:sz w:val="18"/>
                <w:szCs w:val="18"/>
              </w:rPr>
              <w:t>0</w:t>
            </w:r>
          </w:p>
        </w:tc>
        <w:tc>
          <w:tcPr>
            <w:tcW w:w="1062" w:type="pct"/>
            <w:vMerge w:val="restart"/>
            <w:vAlign w:val="center"/>
          </w:tcPr>
          <w:p w14:paraId="7533FFD1">
            <w:pPr>
              <w:jc w:val="center"/>
              <w:rPr>
                <w:sz w:val="18"/>
                <w:szCs w:val="18"/>
              </w:rPr>
            </w:pPr>
            <w:r>
              <w:rPr>
                <w:sz w:val="18"/>
                <w:szCs w:val="18"/>
              </w:rPr>
              <w:t>0.06</w:t>
            </w:r>
          </w:p>
        </w:tc>
        <w:tc>
          <w:tcPr>
            <w:tcW w:w="1085" w:type="pct"/>
            <w:vMerge w:val="restart"/>
            <w:vAlign w:val="center"/>
          </w:tcPr>
          <w:p w14:paraId="7533FFD2">
            <w:pPr>
              <w:jc w:val="center"/>
              <w:rPr>
                <w:sz w:val="18"/>
                <w:szCs w:val="18"/>
              </w:rPr>
            </w:pPr>
            <w:r>
              <w:rPr>
                <w:sz w:val="18"/>
                <w:szCs w:val="18"/>
              </w:rPr>
              <w:t>1.0</w:t>
            </w:r>
          </w:p>
        </w:tc>
      </w:tr>
      <w:tr w14:paraId="7533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1" w:type="pct"/>
            <w:vAlign w:val="center"/>
          </w:tcPr>
          <w:p w14:paraId="7533FFD4">
            <w:pPr>
              <w:tabs>
                <w:tab w:val="left" w:pos="1080"/>
              </w:tabs>
              <w:jc w:val="center"/>
              <w:rPr>
                <w:sz w:val="18"/>
                <w:szCs w:val="18"/>
              </w:rPr>
            </w:pPr>
            <w:r>
              <w:rPr>
                <w:sz w:val="18"/>
                <w:szCs w:val="18"/>
              </w:rPr>
              <w:t>潮湿但不含氯离子的环境</w:t>
            </w:r>
          </w:p>
        </w:tc>
        <w:tc>
          <w:tcPr>
            <w:tcW w:w="1262" w:type="pct"/>
            <w:vAlign w:val="center"/>
          </w:tcPr>
          <w:p w14:paraId="7533FFD5">
            <w:pPr>
              <w:jc w:val="center"/>
              <w:rPr>
                <w:sz w:val="18"/>
                <w:szCs w:val="18"/>
              </w:rPr>
            </w:pPr>
            <w:r>
              <w:rPr>
                <w:sz w:val="18"/>
                <w:szCs w:val="18"/>
              </w:rPr>
              <w:t>0.2</w:t>
            </w:r>
            <w:r>
              <w:rPr>
                <w:rFonts w:hint="eastAsia"/>
                <w:sz w:val="18"/>
                <w:szCs w:val="18"/>
              </w:rPr>
              <w:t>0</w:t>
            </w:r>
          </w:p>
        </w:tc>
        <w:tc>
          <w:tcPr>
            <w:tcW w:w="1062" w:type="pct"/>
            <w:vMerge w:val="continue"/>
            <w:vAlign w:val="center"/>
          </w:tcPr>
          <w:p w14:paraId="7533FFD6">
            <w:pPr>
              <w:jc w:val="center"/>
              <w:rPr>
                <w:sz w:val="18"/>
                <w:szCs w:val="18"/>
              </w:rPr>
            </w:pPr>
          </w:p>
        </w:tc>
        <w:tc>
          <w:tcPr>
            <w:tcW w:w="1085" w:type="pct"/>
            <w:vMerge w:val="continue"/>
            <w:vAlign w:val="center"/>
          </w:tcPr>
          <w:p w14:paraId="7533FFD7">
            <w:pPr>
              <w:jc w:val="center"/>
              <w:rPr>
                <w:sz w:val="18"/>
                <w:szCs w:val="18"/>
              </w:rPr>
            </w:pPr>
          </w:p>
        </w:tc>
      </w:tr>
      <w:tr w14:paraId="7533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1" w:type="pct"/>
            <w:vAlign w:val="center"/>
          </w:tcPr>
          <w:p w14:paraId="7533FFD9">
            <w:pPr>
              <w:tabs>
                <w:tab w:val="left" w:pos="1080"/>
              </w:tabs>
              <w:jc w:val="center"/>
              <w:rPr>
                <w:sz w:val="18"/>
                <w:szCs w:val="18"/>
              </w:rPr>
            </w:pPr>
            <w:r>
              <w:rPr>
                <w:sz w:val="18"/>
                <w:szCs w:val="18"/>
              </w:rPr>
              <w:t>潮湿而含有氯离子的环境</w:t>
            </w:r>
          </w:p>
        </w:tc>
        <w:tc>
          <w:tcPr>
            <w:tcW w:w="1262" w:type="pct"/>
            <w:vAlign w:val="center"/>
          </w:tcPr>
          <w:p w14:paraId="7533FFDA">
            <w:pPr>
              <w:jc w:val="center"/>
              <w:rPr>
                <w:sz w:val="18"/>
                <w:szCs w:val="18"/>
              </w:rPr>
            </w:pPr>
            <w:r>
              <w:rPr>
                <w:sz w:val="18"/>
                <w:szCs w:val="18"/>
              </w:rPr>
              <w:t>0.1</w:t>
            </w:r>
            <w:r>
              <w:rPr>
                <w:rFonts w:hint="eastAsia"/>
                <w:sz w:val="18"/>
                <w:szCs w:val="18"/>
              </w:rPr>
              <w:t>0</w:t>
            </w:r>
          </w:p>
        </w:tc>
        <w:tc>
          <w:tcPr>
            <w:tcW w:w="1062" w:type="pct"/>
            <w:vMerge w:val="continue"/>
            <w:vAlign w:val="center"/>
          </w:tcPr>
          <w:p w14:paraId="7533FFDB">
            <w:pPr>
              <w:jc w:val="center"/>
              <w:rPr>
                <w:sz w:val="18"/>
                <w:szCs w:val="18"/>
              </w:rPr>
            </w:pPr>
          </w:p>
        </w:tc>
        <w:tc>
          <w:tcPr>
            <w:tcW w:w="1085" w:type="pct"/>
            <w:vMerge w:val="continue"/>
            <w:vAlign w:val="center"/>
          </w:tcPr>
          <w:p w14:paraId="7533FFDC">
            <w:pPr>
              <w:jc w:val="center"/>
              <w:rPr>
                <w:sz w:val="18"/>
                <w:szCs w:val="18"/>
              </w:rPr>
            </w:pPr>
          </w:p>
        </w:tc>
      </w:tr>
      <w:tr w14:paraId="7533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91" w:type="pct"/>
            <w:vAlign w:val="center"/>
          </w:tcPr>
          <w:p w14:paraId="7533FFDE">
            <w:pPr>
              <w:tabs>
                <w:tab w:val="left" w:pos="1080"/>
              </w:tabs>
              <w:jc w:val="center"/>
              <w:rPr>
                <w:sz w:val="18"/>
                <w:szCs w:val="18"/>
              </w:rPr>
            </w:pPr>
            <w:r>
              <w:rPr>
                <w:sz w:val="18"/>
                <w:szCs w:val="18"/>
              </w:rPr>
              <w:t>除冰盐等侵蚀性物质的腐蚀环境、盐渍土环境</w:t>
            </w:r>
          </w:p>
        </w:tc>
        <w:tc>
          <w:tcPr>
            <w:tcW w:w="1262" w:type="pct"/>
            <w:vAlign w:val="center"/>
          </w:tcPr>
          <w:p w14:paraId="7533FFDF">
            <w:pPr>
              <w:jc w:val="center"/>
              <w:rPr>
                <w:sz w:val="18"/>
                <w:szCs w:val="18"/>
              </w:rPr>
            </w:pPr>
            <w:r>
              <w:rPr>
                <w:sz w:val="18"/>
                <w:szCs w:val="18"/>
              </w:rPr>
              <w:t>0.06</w:t>
            </w:r>
          </w:p>
        </w:tc>
        <w:tc>
          <w:tcPr>
            <w:tcW w:w="1062" w:type="pct"/>
            <w:vMerge w:val="continue"/>
            <w:vAlign w:val="center"/>
          </w:tcPr>
          <w:p w14:paraId="7533FFE0">
            <w:pPr>
              <w:jc w:val="center"/>
              <w:rPr>
                <w:sz w:val="18"/>
                <w:szCs w:val="18"/>
              </w:rPr>
            </w:pPr>
          </w:p>
        </w:tc>
        <w:tc>
          <w:tcPr>
            <w:tcW w:w="1085" w:type="pct"/>
            <w:vMerge w:val="continue"/>
            <w:vAlign w:val="center"/>
          </w:tcPr>
          <w:p w14:paraId="7533FFE1">
            <w:pPr>
              <w:jc w:val="center"/>
              <w:rPr>
                <w:sz w:val="18"/>
                <w:szCs w:val="18"/>
              </w:rPr>
            </w:pPr>
          </w:p>
        </w:tc>
      </w:tr>
    </w:tbl>
    <w:p w14:paraId="7533FFE5">
      <w:pPr>
        <w:spacing w:line="300" w:lineRule="auto"/>
        <w:rPr>
          <w:rFonts w:hint="eastAsia" w:hAnsi="宋体"/>
          <w:szCs w:val="21"/>
        </w:rPr>
      </w:pPr>
      <w:r>
        <w:rPr>
          <w:b/>
          <w:szCs w:val="21"/>
        </w:rPr>
        <w:t xml:space="preserve">3.1.9 </w:t>
      </w:r>
      <w:r>
        <w:rPr>
          <w:szCs w:val="21"/>
        </w:rPr>
        <w:t xml:space="preserve"> </w:t>
      </w:r>
      <w:r>
        <w:rPr>
          <w:rFonts w:hAnsi="宋体"/>
          <w:szCs w:val="21"/>
        </w:rPr>
        <w:t>掺用</w:t>
      </w:r>
      <w:r>
        <w:rPr>
          <w:rFonts w:hint="eastAsia" w:hAnsi="宋体"/>
          <w:szCs w:val="21"/>
        </w:rPr>
        <w:t>引气剂或</w:t>
      </w:r>
      <w:r>
        <w:rPr>
          <w:rFonts w:hAnsi="宋体"/>
          <w:szCs w:val="21"/>
        </w:rPr>
        <w:t>引气型外加剂混凝土拌合物的含气量宜符合表</w:t>
      </w:r>
      <w:r>
        <w:rPr>
          <w:szCs w:val="21"/>
        </w:rPr>
        <w:t>3.1.9</w:t>
      </w:r>
      <w:r>
        <w:rPr>
          <w:rFonts w:hAnsi="宋体"/>
          <w:szCs w:val="21"/>
        </w:rPr>
        <w:t>的规定。</w:t>
      </w:r>
    </w:p>
    <w:p w14:paraId="7533FFE6">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 xml:space="preserve">表3.1.9 </w:t>
      </w:r>
      <w:r>
        <w:rPr>
          <w:rFonts w:hint="eastAsia" w:ascii="黑体" w:hAnsi="宋体" w:eastAsia="黑体"/>
          <w:sz w:val="18"/>
          <w:szCs w:val="18"/>
        </w:rPr>
        <w:t xml:space="preserve"> </w:t>
      </w:r>
      <w:r>
        <w:rPr>
          <w:rFonts w:ascii="黑体" w:hAnsi="宋体" w:eastAsia="黑体"/>
          <w:sz w:val="18"/>
          <w:szCs w:val="18"/>
        </w:rPr>
        <w:t>混凝土</w:t>
      </w:r>
      <w:r>
        <w:rPr>
          <w:rFonts w:hint="eastAsia" w:ascii="黑体" w:hAnsi="宋体" w:eastAsia="黑体"/>
          <w:sz w:val="18"/>
          <w:szCs w:val="18"/>
        </w:rPr>
        <w:t>拌合物</w:t>
      </w:r>
      <w:r>
        <w:rPr>
          <w:rFonts w:ascii="黑体" w:hAnsi="宋体" w:eastAsia="黑体"/>
          <w:sz w:val="18"/>
          <w:szCs w:val="18"/>
        </w:rPr>
        <w:t>含气量</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47"/>
        <w:gridCol w:w="3969"/>
      </w:tblGrid>
      <w:tr w14:paraId="7533F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614" w:type="pct"/>
            <w:shd w:val="clear" w:color="auto" w:fill="auto"/>
            <w:vAlign w:val="center"/>
          </w:tcPr>
          <w:p w14:paraId="7533FFE7">
            <w:pPr>
              <w:jc w:val="center"/>
              <w:rPr>
                <w:sz w:val="18"/>
                <w:szCs w:val="18"/>
              </w:rPr>
            </w:pPr>
            <w:r>
              <w:rPr>
                <w:sz w:val="18"/>
                <w:szCs w:val="18"/>
              </w:rPr>
              <w:t>粗骨料最大公称粒径（mm）</w:t>
            </w:r>
          </w:p>
        </w:tc>
        <w:tc>
          <w:tcPr>
            <w:tcW w:w="2386" w:type="pct"/>
            <w:shd w:val="clear" w:color="auto" w:fill="auto"/>
            <w:vAlign w:val="center"/>
          </w:tcPr>
          <w:p w14:paraId="7533FFE8">
            <w:pPr>
              <w:jc w:val="center"/>
              <w:rPr>
                <w:sz w:val="18"/>
                <w:szCs w:val="18"/>
              </w:rPr>
            </w:pPr>
            <w:r>
              <w:rPr>
                <w:sz w:val="18"/>
                <w:szCs w:val="18"/>
              </w:rPr>
              <w:t>混凝土含气量（%）</w:t>
            </w:r>
          </w:p>
        </w:tc>
      </w:tr>
      <w:tr w14:paraId="7533F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4" w:hRule="atLeast"/>
          <w:jc w:val="center"/>
        </w:trPr>
        <w:tc>
          <w:tcPr>
            <w:tcW w:w="2614" w:type="pct"/>
            <w:shd w:val="clear" w:color="auto" w:fill="auto"/>
            <w:vAlign w:val="center"/>
          </w:tcPr>
          <w:p w14:paraId="7533FFEA">
            <w:pPr>
              <w:jc w:val="center"/>
              <w:rPr>
                <w:sz w:val="18"/>
                <w:szCs w:val="18"/>
              </w:rPr>
            </w:pPr>
            <w:r>
              <w:rPr>
                <w:sz w:val="18"/>
                <w:szCs w:val="18"/>
              </w:rPr>
              <w:t>20</w:t>
            </w:r>
          </w:p>
        </w:tc>
        <w:tc>
          <w:tcPr>
            <w:tcW w:w="2386" w:type="pct"/>
            <w:shd w:val="clear" w:color="auto" w:fill="auto"/>
            <w:vAlign w:val="center"/>
          </w:tcPr>
          <w:p w14:paraId="7533FFEB">
            <w:pPr>
              <w:jc w:val="center"/>
              <w:rPr>
                <w:sz w:val="18"/>
                <w:szCs w:val="18"/>
              </w:rPr>
            </w:pPr>
            <w:r>
              <w:rPr>
                <w:sz w:val="18"/>
                <w:szCs w:val="18"/>
              </w:rPr>
              <w:t>≤ 5.5</w:t>
            </w:r>
          </w:p>
        </w:tc>
      </w:tr>
      <w:tr w14:paraId="7533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2614" w:type="pct"/>
            <w:shd w:val="clear" w:color="auto" w:fill="auto"/>
            <w:vAlign w:val="center"/>
          </w:tcPr>
          <w:p w14:paraId="7533FFED">
            <w:pPr>
              <w:jc w:val="center"/>
              <w:rPr>
                <w:sz w:val="18"/>
                <w:szCs w:val="18"/>
              </w:rPr>
            </w:pPr>
            <w:r>
              <w:rPr>
                <w:sz w:val="18"/>
                <w:szCs w:val="18"/>
              </w:rPr>
              <w:t>25</w:t>
            </w:r>
          </w:p>
        </w:tc>
        <w:tc>
          <w:tcPr>
            <w:tcW w:w="2386" w:type="pct"/>
            <w:shd w:val="clear" w:color="auto" w:fill="auto"/>
            <w:vAlign w:val="center"/>
          </w:tcPr>
          <w:p w14:paraId="7533FFEE">
            <w:pPr>
              <w:jc w:val="center"/>
              <w:rPr>
                <w:sz w:val="18"/>
                <w:szCs w:val="18"/>
              </w:rPr>
            </w:pPr>
            <w:r>
              <w:rPr>
                <w:sz w:val="18"/>
                <w:szCs w:val="18"/>
              </w:rPr>
              <w:t>≤ 5.0</w:t>
            </w:r>
          </w:p>
        </w:tc>
      </w:tr>
      <w:tr w14:paraId="7533F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atLeast"/>
          <w:jc w:val="center"/>
        </w:trPr>
        <w:tc>
          <w:tcPr>
            <w:tcW w:w="2614" w:type="pct"/>
            <w:shd w:val="clear" w:color="auto" w:fill="auto"/>
            <w:vAlign w:val="center"/>
          </w:tcPr>
          <w:p w14:paraId="7533FFF0">
            <w:pPr>
              <w:jc w:val="center"/>
              <w:rPr>
                <w:sz w:val="18"/>
                <w:szCs w:val="18"/>
              </w:rPr>
            </w:pPr>
            <w:r>
              <w:rPr>
                <w:sz w:val="18"/>
                <w:szCs w:val="18"/>
              </w:rPr>
              <w:t>40</w:t>
            </w:r>
          </w:p>
        </w:tc>
        <w:tc>
          <w:tcPr>
            <w:tcW w:w="2386" w:type="pct"/>
            <w:shd w:val="clear" w:color="auto" w:fill="auto"/>
            <w:vAlign w:val="center"/>
          </w:tcPr>
          <w:p w14:paraId="7533FFF1">
            <w:pPr>
              <w:jc w:val="center"/>
              <w:rPr>
                <w:sz w:val="18"/>
                <w:szCs w:val="18"/>
              </w:rPr>
            </w:pPr>
            <w:r>
              <w:rPr>
                <w:sz w:val="18"/>
                <w:szCs w:val="18"/>
              </w:rPr>
              <w:t>≤ 4.5</w:t>
            </w:r>
          </w:p>
        </w:tc>
      </w:tr>
    </w:tbl>
    <w:p w14:paraId="7533FFF3">
      <w:pPr>
        <w:spacing w:before="312" w:beforeLines="100" w:after="312" w:afterLines="100" w:line="300" w:lineRule="auto"/>
        <w:jc w:val="center"/>
        <w:outlineLvl w:val="1"/>
        <w:rPr>
          <w:bCs/>
          <w:sz w:val="24"/>
        </w:rPr>
      </w:pPr>
      <w:bookmarkStart w:id="73" w:name="_Toc268120160"/>
      <w:bookmarkStart w:id="74" w:name="_Toc269885293"/>
      <w:bookmarkStart w:id="75" w:name="_Toc268678428"/>
      <w:bookmarkStart w:id="76" w:name="_Toc268120034"/>
      <w:bookmarkStart w:id="77" w:name="_Toc275249811"/>
      <w:bookmarkStart w:id="78" w:name="_Toc201943558"/>
      <w:r>
        <w:rPr>
          <w:bCs/>
          <w:sz w:val="24"/>
        </w:rPr>
        <w:t xml:space="preserve">3.2 </w:t>
      </w:r>
      <w:r>
        <w:rPr>
          <w:rFonts w:hint="eastAsia"/>
          <w:bCs/>
          <w:sz w:val="24"/>
        </w:rPr>
        <w:t xml:space="preserve"> </w:t>
      </w:r>
      <w:r>
        <w:rPr>
          <w:rFonts w:hAnsi="宋体"/>
          <w:bCs/>
          <w:sz w:val="24"/>
        </w:rPr>
        <w:t>力学性能</w:t>
      </w:r>
      <w:bookmarkEnd w:id="73"/>
      <w:bookmarkEnd w:id="74"/>
      <w:bookmarkEnd w:id="75"/>
      <w:bookmarkEnd w:id="76"/>
      <w:bookmarkEnd w:id="77"/>
      <w:bookmarkEnd w:id="78"/>
    </w:p>
    <w:p w14:paraId="7533FFF4">
      <w:pPr>
        <w:spacing w:line="300" w:lineRule="auto"/>
        <w:rPr>
          <w:rFonts w:hint="eastAsia" w:hAnsi="宋体"/>
          <w:szCs w:val="21"/>
        </w:rPr>
      </w:pPr>
      <w:r>
        <w:rPr>
          <w:b/>
          <w:szCs w:val="21"/>
        </w:rPr>
        <w:t>3.2.1</w:t>
      </w:r>
      <w:r>
        <w:rPr>
          <w:szCs w:val="21"/>
        </w:rPr>
        <w:t xml:space="preserve">  </w:t>
      </w:r>
      <w:r>
        <w:rPr>
          <w:rFonts w:hAnsi="宋体"/>
          <w:szCs w:val="21"/>
        </w:rPr>
        <w:t>混凝土的力学性能应满足设计和施工的要求。混凝土力学性能试验方法应符合现行国家标准《混凝土</w:t>
      </w:r>
      <w:r>
        <w:rPr>
          <w:rFonts w:hint="eastAsia" w:hAnsi="宋体"/>
          <w:szCs w:val="21"/>
        </w:rPr>
        <w:t>物理</w:t>
      </w:r>
      <w:r>
        <w:rPr>
          <w:rFonts w:hAnsi="宋体"/>
          <w:szCs w:val="21"/>
        </w:rPr>
        <w:t>力学性能试验方法标准》</w:t>
      </w:r>
      <w:r>
        <w:rPr>
          <w:szCs w:val="21"/>
        </w:rPr>
        <w:t>GB/T 50081</w:t>
      </w:r>
      <w:r>
        <w:rPr>
          <w:rFonts w:hAnsi="宋体"/>
          <w:szCs w:val="21"/>
        </w:rPr>
        <w:t>的</w:t>
      </w:r>
      <w:r>
        <w:rPr>
          <w:rFonts w:hint="eastAsia" w:hAnsi="宋体"/>
          <w:szCs w:val="21"/>
        </w:rPr>
        <w:t>有关</w:t>
      </w:r>
      <w:r>
        <w:rPr>
          <w:rFonts w:hAnsi="宋体"/>
          <w:szCs w:val="21"/>
        </w:rPr>
        <w:t>规定。</w:t>
      </w:r>
      <w:r>
        <w:rPr>
          <w:rFonts w:hint="eastAsia" w:hAnsi="宋体"/>
          <w:szCs w:val="21"/>
        </w:rPr>
        <w:t>当采用自动化试验方法时，还应符合国家现行相关标准的规定。</w:t>
      </w:r>
    </w:p>
    <w:p w14:paraId="7533FFF5">
      <w:pPr>
        <w:spacing w:line="300" w:lineRule="auto"/>
        <w:rPr>
          <w:szCs w:val="21"/>
        </w:rPr>
      </w:pPr>
      <w:r>
        <w:rPr>
          <w:b/>
          <w:szCs w:val="21"/>
        </w:rPr>
        <w:t xml:space="preserve">3.2.2 </w:t>
      </w:r>
      <w:r>
        <w:rPr>
          <w:szCs w:val="21"/>
        </w:rPr>
        <w:t xml:space="preserve"> </w:t>
      </w:r>
      <w:r>
        <w:rPr>
          <w:rFonts w:hAnsi="宋体"/>
          <w:szCs w:val="21"/>
        </w:rPr>
        <w:t>混凝土强度等级</w:t>
      </w:r>
      <w:r>
        <w:rPr>
          <w:rFonts w:hint="eastAsia" w:hAnsi="宋体"/>
          <w:szCs w:val="21"/>
        </w:rPr>
        <w:t>应</w:t>
      </w:r>
      <w:r>
        <w:rPr>
          <w:rFonts w:hAnsi="宋体"/>
          <w:szCs w:val="21"/>
        </w:rPr>
        <w:t>按立方体抗压强度标准值（</w:t>
      </w:r>
      <w:r>
        <w:rPr>
          <w:szCs w:val="21"/>
        </w:rPr>
        <w:t>MPa</w:t>
      </w:r>
      <w:r>
        <w:rPr>
          <w:rFonts w:hAnsi="宋体"/>
          <w:szCs w:val="21"/>
        </w:rPr>
        <w:t>）划分为</w:t>
      </w:r>
      <w:r>
        <w:rPr>
          <w:szCs w:val="21"/>
        </w:rPr>
        <w:t>C10</w:t>
      </w:r>
      <w:r>
        <w:rPr>
          <w:rFonts w:hAnsi="宋体"/>
          <w:szCs w:val="21"/>
        </w:rPr>
        <w:t>、</w:t>
      </w:r>
      <w:r>
        <w:rPr>
          <w:szCs w:val="21"/>
        </w:rPr>
        <w:t>C15</w:t>
      </w:r>
      <w:r>
        <w:rPr>
          <w:rFonts w:hAnsi="宋体"/>
          <w:szCs w:val="21"/>
        </w:rPr>
        <w:t>、</w:t>
      </w:r>
      <w:r>
        <w:rPr>
          <w:szCs w:val="21"/>
        </w:rPr>
        <w:t>C20</w:t>
      </w:r>
      <w:r>
        <w:rPr>
          <w:rFonts w:hAnsi="宋体"/>
          <w:szCs w:val="21"/>
        </w:rPr>
        <w:t>、</w:t>
      </w:r>
      <w:r>
        <w:rPr>
          <w:szCs w:val="21"/>
        </w:rPr>
        <w:t>C25</w:t>
      </w:r>
      <w:r>
        <w:rPr>
          <w:rFonts w:hAnsi="宋体"/>
          <w:szCs w:val="21"/>
        </w:rPr>
        <w:t>、</w:t>
      </w:r>
      <w:r>
        <w:rPr>
          <w:szCs w:val="21"/>
        </w:rPr>
        <w:t>C30</w:t>
      </w:r>
      <w:r>
        <w:rPr>
          <w:rFonts w:hAnsi="宋体"/>
          <w:szCs w:val="21"/>
        </w:rPr>
        <w:t>、</w:t>
      </w:r>
      <w:r>
        <w:rPr>
          <w:szCs w:val="21"/>
        </w:rPr>
        <w:t>C35</w:t>
      </w:r>
      <w:r>
        <w:rPr>
          <w:rFonts w:hAnsi="宋体"/>
          <w:szCs w:val="21"/>
        </w:rPr>
        <w:t>、</w:t>
      </w:r>
      <w:r>
        <w:rPr>
          <w:szCs w:val="21"/>
        </w:rPr>
        <w:t>C40</w:t>
      </w:r>
      <w:r>
        <w:rPr>
          <w:rFonts w:hAnsi="宋体"/>
          <w:szCs w:val="21"/>
        </w:rPr>
        <w:t>、</w:t>
      </w:r>
      <w:r>
        <w:rPr>
          <w:szCs w:val="21"/>
        </w:rPr>
        <w:t>C45</w:t>
      </w:r>
      <w:r>
        <w:rPr>
          <w:rFonts w:hAnsi="宋体"/>
          <w:szCs w:val="21"/>
        </w:rPr>
        <w:t>、</w:t>
      </w:r>
      <w:r>
        <w:rPr>
          <w:szCs w:val="21"/>
        </w:rPr>
        <w:t>C50</w:t>
      </w:r>
      <w:r>
        <w:rPr>
          <w:rFonts w:hAnsi="宋体"/>
          <w:szCs w:val="21"/>
        </w:rPr>
        <w:t>、</w:t>
      </w:r>
      <w:r>
        <w:rPr>
          <w:szCs w:val="21"/>
        </w:rPr>
        <w:t>C55</w:t>
      </w:r>
      <w:r>
        <w:rPr>
          <w:rFonts w:hAnsi="宋体"/>
          <w:szCs w:val="21"/>
        </w:rPr>
        <w:t>、</w:t>
      </w:r>
      <w:r>
        <w:rPr>
          <w:szCs w:val="21"/>
        </w:rPr>
        <w:t>C60</w:t>
      </w:r>
      <w:r>
        <w:rPr>
          <w:rFonts w:hAnsi="宋体"/>
          <w:szCs w:val="21"/>
        </w:rPr>
        <w:t>、</w:t>
      </w:r>
      <w:r>
        <w:rPr>
          <w:szCs w:val="21"/>
        </w:rPr>
        <w:t>C65</w:t>
      </w:r>
      <w:r>
        <w:rPr>
          <w:rFonts w:hAnsi="宋体"/>
          <w:szCs w:val="21"/>
        </w:rPr>
        <w:t>、</w:t>
      </w:r>
      <w:r>
        <w:rPr>
          <w:szCs w:val="21"/>
        </w:rPr>
        <w:t>C70</w:t>
      </w:r>
      <w:r>
        <w:rPr>
          <w:rFonts w:hAnsi="宋体"/>
          <w:szCs w:val="21"/>
        </w:rPr>
        <w:t>、</w:t>
      </w:r>
      <w:r>
        <w:rPr>
          <w:szCs w:val="21"/>
        </w:rPr>
        <w:t>C75</w:t>
      </w:r>
      <w:r>
        <w:rPr>
          <w:rFonts w:hAnsi="宋体"/>
          <w:szCs w:val="21"/>
        </w:rPr>
        <w:t>、</w:t>
      </w:r>
      <w:r>
        <w:rPr>
          <w:szCs w:val="21"/>
        </w:rPr>
        <w:t>C80</w:t>
      </w:r>
      <w:r>
        <w:rPr>
          <w:rFonts w:hAnsi="宋体"/>
          <w:szCs w:val="21"/>
        </w:rPr>
        <w:t>、</w:t>
      </w:r>
      <w:r>
        <w:rPr>
          <w:szCs w:val="21"/>
        </w:rPr>
        <w:t>C85</w:t>
      </w:r>
      <w:r>
        <w:rPr>
          <w:rFonts w:hAnsi="宋体"/>
          <w:szCs w:val="21"/>
        </w:rPr>
        <w:t>、</w:t>
      </w:r>
      <w:r>
        <w:rPr>
          <w:szCs w:val="21"/>
        </w:rPr>
        <w:t>C90</w:t>
      </w:r>
      <w:r>
        <w:rPr>
          <w:rFonts w:hAnsi="宋体"/>
          <w:szCs w:val="21"/>
        </w:rPr>
        <w:t>、</w:t>
      </w:r>
      <w:r>
        <w:rPr>
          <w:szCs w:val="21"/>
        </w:rPr>
        <w:t>C95</w:t>
      </w:r>
      <w:r>
        <w:rPr>
          <w:rFonts w:hint="eastAsia" w:hAnsi="宋体"/>
          <w:szCs w:val="21"/>
        </w:rPr>
        <w:t>、</w:t>
      </w:r>
      <w:r>
        <w:rPr>
          <w:szCs w:val="21"/>
        </w:rPr>
        <w:t>C100</w:t>
      </w:r>
      <w:r>
        <w:rPr>
          <w:rFonts w:hint="eastAsia"/>
          <w:szCs w:val="21"/>
        </w:rPr>
        <w:t>、</w:t>
      </w:r>
      <w:r>
        <w:rPr>
          <w:rFonts w:hint="eastAsia" w:hAnsi="宋体"/>
          <w:szCs w:val="21"/>
        </w:rPr>
        <w:t>C105、C110和C115。</w:t>
      </w:r>
    </w:p>
    <w:p w14:paraId="7533FFF6">
      <w:pPr>
        <w:spacing w:line="300" w:lineRule="auto"/>
        <w:rPr>
          <w:rFonts w:hint="eastAsia" w:hAnsi="宋体"/>
          <w:szCs w:val="21"/>
        </w:rPr>
      </w:pPr>
      <w:r>
        <w:rPr>
          <w:b/>
          <w:szCs w:val="21"/>
        </w:rPr>
        <w:t>3.2.3</w:t>
      </w:r>
      <w:r>
        <w:rPr>
          <w:szCs w:val="21"/>
        </w:rPr>
        <w:t xml:space="preserve">  </w:t>
      </w:r>
      <w:r>
        <w:rPr>
          <w:rFonts w:hAnsi="宋体"/>
          <w:szCs w:val="21"/>
        </w:rPr>
        <w:t>混凝土抗压强度应按现行国家标准《混凝土强度检验评定标准》</w:t>
      </w:r>
      <w:r>
        <w:rPr>
          <w:szCs w:val="21"/>
        </w:rPr>
        <w:t>GB/T 50107</w:t>
      </w:r>
      <w:r>
        <w:rPr>
          <w:rFonts w:hAnsi="宋体"/>
          <w:szCs w:val="21"/>
        </w:rPr>
        <w:t>的</w:t>
      </w:r>
      <w:r>
        <w:rPr>
          <w:rFonts w:hint="eastAsia" w:hAnsi="宋体"/>
          <w:szCs w:val="21"/>
        </w:rPr>
        <w:t>有关</w:t>
      </w:r>
      <w:r>
        <w:rPr>
          <w:rFonts w:hAnsi="宋体"/>
          <w:szCs w:val="21"/>
        </w:rPr>
        <w:t>规定进行检验评定，并应合格。</w:t>
      </w:r>
    </w:p>
    <w:p w14:paraId="7533FFF7">
      <w:pPr>
        <w:spacing w:before="312" w:beforeLines="100" w:after="312" w:afterLines="100" w:line="300" w:lineRule="auto"/>
        <w:jc w:val="center"/>
        <w:outlineLvl w:val="1"/>
        <w:rPr>
          <w:bCs/>
          <w:sz w:val="24"/>
        </w:rPr>
      </w:pPr>
      <w:bookmarkStart w:id="79" w:name="_Toc268678429"/>
      <w:bookmarkStart w:id="80" w:name="_Toc268120035"/>
      <w:bookmarkStart w:id="81" w:name="_Toc201943559"/>
      <w:bookmarkStart w:id="82" w:name="_Toc269885294"/>
      <w:bookmarkStart w:id="83" w:name="_Toc275249812"/>
      <w:bookmarkStart w:id="84" w:name="_Toc268120161"/>
      <w:r>
        <w:rPr>
          <w:bCs/>
          <w:sz w:val="24"/>
        </w:rPr>
        <w:t xml:space="preserve">3.3 </w:t>
      </w:r>
      <w:r>
        <w:rPr>
          <w:rFonts w:hint="eastAsia"/>
          <w:bCs/>
          <w:sz w:val="24"/>
        </w:rPr>
        <w:t xml:space="preserve"> </w:t>
      </w:r>
      <w:r>
        <w:rPr>
          <w:rFonts w:hAnsi="宋体"/>
          <w:bCs/>
          <w:sz w:val="24"/>
        </w:rPr>
        <w:t>长期性能和耐久性能</w:t>
      </w:r>
      <w:bookmarkEnd w:id="79"/>
      <w:bookmarkEnd w:id="80"/>
      <w:bookmarkEnd w:id="81"/>
      <w:bookmarkEnd w:id="82"/>
      <w:bookmarkEnd w:id="83"/>
      <w:bookmarkEnd w:id="84"/>
    </w:p>
    <w:p w14:paraId="7533FFF8">
      <w:pPr>
        <w:spacing w:line="300" w:lineRule="auto"/>
        <w:rPr>
          <w:rFonts w:hint="eastAsia" w:hAnsi="宋体"/>
          <w:szCs w:val="21"/>
        </w:rPr>
      </w:pPr>
      <w:r>
        <w:rPr>
          <w:b/>
          <w:szCs w:val="21"/>
        </w:rPr>
        <w:t xml:space="preserve">3.3.1 </w:t>
      </w:r>
      <w:r>
        <w:rPr>
          <w:szCs w:val="21"/>
        </w:rPr>
        <w:t xml:space="preserve"> </w:t>
      </w:r>
      <w:r>
        <w:rPr>
          <w:rFonts w:hAnsi="宋体"/>
          <w:szCs w:val="21"/>
        </w:rPr>
        <w:t>混凝土的</w:t>
      </w:r>
      <w:r>
        <w:rPr>
          <w:rFonts w:hint="eastAsia" w:hAnsi="宋体"/>
          <w:szCs w:val="21"/>
        </w:rPr>
        <w:t>长期性能和耐久性能</w:t>
      </w:r>
      <w:r>
        <w:rPr>
          <w:rFonts w:hAnsi="宋体"/>
          <w:szCs w:val="21"/>
        </w:rPr>
        <w:t>应满足设计要求。试验方法应符合现行国家标准《混凝土长期性能和耐久性能试验方法标准》</w:t>
      </w:r>
      <w:r>
        <w:rPr>
          <w:szCs w:val="21"/>
        </w:rPr>
        <w:t>GB/T 50082</w:t>
      </w:r>
      <w:r>
        <w:rPr>
          <w:rFonts w:hAnsi="宋体"/>
          <w:szCs w:val="21"/>
        </w:rPr>
        <w:t>的</w:t>
      </w:r>
      <w:r>
        <w:rPr>
          <w:rFonts w:hint="eastAsia" w:hAnsi="宋体"/>
          <w:szCs w:val="21"/>
        </w:rPr>
        <w:t>有关</w:t>
      </w:r>
      <w:r>
        <w:rPr>
          <w:rFonts w:hAnsi="宋体"/>
          <w:szCs w:val="21"/>
        </w:rPr>
        <w:t>规定。</w:t>
      </w:r>
      <w:r>
        <w:rPr>
          <w:rFonts w:hint="eastAsia" w:hAnsi="宋体"/>
          <w:szCs w:val="21"/>
        </w:rPr>
        <w:t>当采用自动化试验方法时，还应符合国家现行相关标准的规定。</w:t>
      </w:r>
    </w:p>
    <w:p w14:paraId="7533FFF9">
      <w:pPr>
        <w:spacing w:line="300" w:lineRule="auto"/>
        <w:rPr>
          <w:szCs w:val="21"/>
        </w:rPr>
      </w:pPr>
      <w:r>
        <w:rPr>
          <w:b/>
          <w:szCs w:val="21"/>
        </w:rPr>
        <w:t>3.3.</w:t>
      </w:r>
      <w:r>
        <w:rPr>
          <w:rFonts w:hint="eastAsia"/>
          <w:b/>
          <w:szCs w:val="21"/>
        </w:rPr>
        <w:t>2</w:t>
      </w:r>
      <w:r>
        <w:rPr>
          <w:b/>
          <w:szCs w:val="21"/>
        </w:rPr>
        <w:t xml:space="preserve"> </w:t>
      </w:r>
      <w:r>
        <w:rPr>
          <w:szCs w:val="21"/>
        </w:rPr>
        <w:t xml:space="preserve"> </w:t>
      </w:r>
      <w:r>
        <w:rPr>
          <w:rFonts w:hAnsi="宋体"/>
          <w:szCs w:val="21"/>
        </w:rPr>
        <w:t>混凝土的抗冻性能、抗水渗透性能和抗硫酸盐侵蚀性能的等级划分应符合表</w:t>
      </w:r>
      <w:r>
        <w:rPr>
          <w:szCs w:val="21"/>
        </w:rPr>
        <w:t>3.3.</w:t>
      </w:r>
      <w:r>
        <w:rPr>
          <w:rFonts w:hint="eastAsia"/>
          <w:szCs w:val="21"/>
        </w:rPr>
        <w:t>2</w:t>
      </w:r>
      <w:r>
        <w:rPr>
          <w:rFonts w:hAnsi="宋体"/>
          <w:szCs w:val="21"/>
        </w:rPr>
        <w:t>的规定。</w:t>
      </w:r>
    </w:p>
    <w:p w14:paraId="7533FFFA">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表3.3.</w:t>
      </w:r>
      <w:r>
        <w:rPr>
          <w:rFonts w:hint="eastAsia" w:ascii="黑体" w:hAnsi="宋体" w:eastAsia="黑体"/>
          <w:sz w:val="18"/>
          <w:szCs w:val="18"/>
        </w:rPr>
        <w:t>2</w:t>
      </w:r>
      <w:r>
        <w:rPr>
          <w:rFonts w:ascii="黑体" w:hAnsi="宋体" w:eastAsia="黑体"/>
          <w:sz w:val="18"/>
          <w:szCs w:val="18"/>
        </w:rPr>
        <w:t xml:space="preserve">  混凝土抗冻性能、抗水渗透性能和抗硫酸盐侵蚀性能的等级划分</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707"/>
        <w:gridCol w:w="1563"/>
        <w:gridCol w:w="1900"/>
        <w:gridCol w:w="1866"/>
        <w:gridCol w:w="1384"/>
      </w:tblGrid>
      <w:tr w14:paraId="7533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 w:hRule="atLeast"/>
          <w:jc w:val="center"/>
        </w:trPr>
        <w:tc>
          <w:tcPr>
            <w:tcW w:w="1942" w:type="pct"/>
            <w:gridSpan w:val="2"/>
            <w:vAlign w:val="center"/>
          </w:tcPr>
          <w:p w14:paraId="7533FFFB">
            <w:pPr>
              <w:jc w:val="center"/>
              <w:rPr>
                <w:sz w:val="18"/>
                <w:szCs w:val="18"/>
              </w:rPr>
            </w:pPr>
            <w:r>
              <w:rPr>
                <w:rFonts w:hAnsi="宋体"/>
                <w:sz w:val="18"/>
                <w:szCs w:val="18"/>
              </w:rPr>
              <w:t>抗冻等级（快冻法）</w:t>
            </w:r>
          </w:p>
        </w:tc>
        <w:tc>
          <w:tcPr>
            <w:tcW w:w="1128" w:type="pct"/>
            <w:vAlign w:val="center"/>
          </w:tcPr>
          <w:p w14:paraId="7533FFFC">
            <w:pPr>
              <w:jc w:val="center"/>
              <w:rPr>
                <w:sz w:val="18"/>
                <w:szCs w:val="18"/>
              </w:rPr>
            </w:pPr>
            <w:r>
              <w:rPr>
                <w:rFonts w:hAnsi="宋体"/>
                <w:sz w:val="18"/>
                <w:szCs w:val="18"/>
              </w:rPr>
              <w:t>抗冻标号（慢冻法）</w:t>
            </w:r>
          </w:p>
        </w:tc>
        <w:tc>
          <w:tcPr>
            <w:tcW w:w="1108" w:type="pct"/>
            <w:vAlign w:val="center"/>
          </w:tcPr>
          <w:p w14:paraId="7533FFFD">
            <w:pPr>
              <w:jc w:val="center"/>
              <w:rPr>
                <w:sz w:val="18"/>
                <w:szCs w:val="18"/>
              </w:rPr>
            </w:pPr>
            <w:r>
              <w:rPr>
                <w:rFonts w:hAnsi="宋体"/>
                <w:sz w:val="18"/>
                <w:szCs w:val="18"/>
              </w:rPr>
              <w:t>抗渗等级</w:t>
            </w:r>
          </w:p>
        </w:tc>
        <w:tc>
          <w:tcPr>
            <w:tcW w:w="822" w:type="pct"/>
            <w:vAlign w:val="center"/>
          </w:tcPr>
          <w:p w14:paraId="7533FFFE">
            <w:pPr>
              <w:jc w:val="center"/>
              <w:rPr>
                <w:sz w:val="18"/>
                <w:szCs w:val="18"/>
              </w:rPr>
            </w:pPr>
            <w:r>
              <w:rPr>
                <w:rFonts w:hAnsi="宋体"/>
                <w:sz w:val="18"/>
                <w:szCs w:val="18"/>
              </w:rPr>
              <w:t>抗硫酸盐等级</w:t>
            </w:r>
          </w:p>
        </w:tc>
      </w:tr>
      <w:tr w14:paraId="7534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77" w:hRule="atLeast"/>
          <w:jc w:val="center"/>
        </w:trPr>
        <w:tc>
          <w:tcPr>
            <w:tcW w:w="1014" w:type="pct"/>
            <w:vAlign w:val="center"/>
          </w:tcPr>
          <w:p w14:paraId="75340000">
            <w:pPr>
              <w:jc w:val="center"/>
              <w:rPr>
                <w:sz w:val="18"/>
                <w:szCs w:val="18"/>
              </w:rPr>
            </w:pPr>
            <w:r>
              <w:rPr>
                <w:sz w:val="18"/>
                <w:szCs w:val="18"/>
              </w:rPr>
              <w:t>F50</w:t>
            </w:r>
          </w:p>
        </w:tc>
        <w:tc>
          <w:tcPr>
            <w:tcW w:w="928" w:type="pct"/>
            <w:vAlign w:val="center"/>
          </w:tcPr>
          <w:p w14:paraId="75340001">
            <w:pPr>
              <w:jc w:val="center"/>
              <w:rPr>
                <w:sz w:val="18"/>
                <w:szCs w:val="18"/>
              </w:rPr>
            </w:pPr>
            <w:r>
              <w:rPr>
                <w:sz w:val="18"/>
                <w:szCs w:val="18"/>
              </w:rPr>
              <w:t>F250</w:t>
            </w:r>
          </w:p>
        </w:tc>
        <w:tc>
          <w:tcPr>
            <w:tcW w:w="1128" w:type="pct"/>
            <w:vAlign w:val="center"/>
          </w:tcPr>
          <w:p w14:paraId="75340002">
            <w:pPr>
              <w:jc w:val="center"/>
              <w:rPr>
                <w:sz w:val="18"/>
                <w:szCs w:val="18"/>
              </w:rPr>
            </w:pPr>
            <w:r>
              <w:rPr>
                <w:sz w:val="18"/>
                <w:szCs w:val="18"/>
              </w:rPr>
              <w:t>D50</w:t>
            </w:r>
          </w:p>
        </w:tc>
        <w:tc>
          <w:tcPr>
            <w:tcW w:w="1108" w:type="pct"/>
            <w:vAlign w:val="center"/>
          </w:tcPr>
          <w:p w14:paraId="75340003">
            <w:pPr>
              <w:jc w:val="center"/>
              <w:rPr>
                <w:sz w:val="18"/>
                <w:szCs w:val="18"/>
              </w:rPr>
            </w:pPr>
          </w:p>
        </w:tc>
        <w:tc>
          <w:tcPr>
            <w:tcW w:w="822" w:type="pct"/>
            <w:vAlign w:val="center"/>
          </w:tcPr>
          <w:p w14:paraId="75340004">
            <w:pPr>
              <w:jc w:val="center"/>
              <w:rPr>
                <w:sz w:val="18"/>
                <w:szCs w:val="18"/>
              </w:rPr>
            </w:pPr>
            <w:r>
              <w:rPr>
                <w:sz w:val="18"/>
                <w:szCs w:val="18"/>
              </w:rPr>
              <w:t>KS30</w:t>
            </w:r>
          </w:p>
        </w:tc>
      </w:tr>
      <w:tr w14:paraId="7534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09" w:hRule="atLeast"/>
          <w:jc w:val="center"/>
        </w:trPr>
        <w:tc>
          <w:tcPr>
            <w:tcW w:w="1014" w:type="pct"/>
            <w:vAlign w:val="center"/>
          </w:tcPr>
          <w:p w14:paraId="75340006">
            <w:pPr>
              <w:jc w:val="center"/>
              <w:rPr>
                <w:sz w:val="18"/>
                <w:szCs w:val="18"/>
              </w:rPr>
            </w:pPr>
            <w:r>
              <w:rPr>
                <w:sz w:val="18"/>
                <w:szCs w:val="18"/>
              </w:rPr>
              <w:t>F100</w:t>
            </w:r>
          </w:p>
        </w:tc>
        <w:tc>
          <w:tcPr>
            <w:tcW w:w="928" w:type="pct"/>
            <w:vAlign w:val="center"/>
          </w:tcPr>
          <w:p w14:paraId="75340007">
            <w:pPr>
              <w:jc w:val="center"/>
              <w:rPr>
                <w:sz w:val="18"/>
                <w:szCs w:val="18"/>
              </w:rPr>
            </w:pPr>
            <w:r>
              <w:rPr>
                <w:sz w:val="18"/>
                <w:szCs w:val="18"/>
              </w:rPr>
              <w:t>F300</w:t>
            </w:r>
          </w:p>
        </w:tc>
        <w:tc>
          <w:tcPr>
            <w:tcW w:w="1128" w:type="pct"/>
            <w:vAlign w:val="center"/>
          </w:tcPr>
          <w:p w14:paraId="75340008">
            <w:pPr>
              <w:jc w:val="center"/>
              <w:rPr>
                <w:sz w:val="18"/>
                <w:szCs w:val="18"/>
              </w:rPr>
            </w:pPr>
            <w:r>
              <w:rPr>
                <w:sz w:val="18"/>
                <w:szCs w:val="18"/>
              </w:rPr>
              <w:t>D100</w:t>
            </w:r>
          </w:p>
        </w:tc>
        <w:tc>
          <w:tcPr>
            <w:tcW w:w="1108" w:type="pct"/>
            <w:vAlign w:val="center"/>
          </w:tcPr>
          <w:p w14:paraId="75340009">
            <w:pPr>
              <w:jc w:val="center"/>
              <w:rPr>
                <w:sz w:val="18"/>
                <w:szCs w:val="18"/>
              </w:rPr>
            </w:pPr>
            <w:r>
              <w:rPr>
                <w:sz w:val="18"/>
                <w:szCs w:val="18"/>
              </w:rPr>
              <w:t>P6</w:t>
            </w:r>
          </w:p>
        </w:tc>
        <w:tc>
          <w:tcPr>
            <w:tcW w:w="822" w:type="pct"/>
            <w:vAlign w:val="center"/>
          </w:tcPr>
          <w:p w14:paraId="7534000A">
            <w:pPr>
              <w:jc w:val="center"/>
              <w:rPr>
                <w:sz w:val="18"/>
                <w:szCs w:val="18"/>
              </w:rPr>
            </w:pPr>
            <w:r>
              <w:rPr>
                <w:sz w:val="18"/>
                <w:szCs w:val="18"/>
              </w:rPr>
              <w:t>KS60</w:t>
            </w:r>
          </w:p>
        </w:tc>
      </w:tr>
      <w:tr w14:paraId="7534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99" w:hRule="atLeast"/>
          <w:jc w:val="center"/>
        </w:trPr>
        <w:tc>
          <w:tcPr>
            <w:tcW w:w="1014" w:type="pct"/>
            <w:vAlign w:val="center"/>
          </w:tcPr>
          <w:p w14:paraId="7534000C">
            <w:pPr>
              <w:jc w:val="center"/>
              <w:rPr>
                <w:sz w:val="18"/>
                <w:szCs w:val="18"/>
              </w:rPr>
            </w:pPr>
            <w:r>
              <w:rPr>
                <w:sz w:val="18"/>
                <w:szCs w:val="18"/>
              </w:rPr>
              <w:t>F150</w:t>
            </w:r>
          </w:p>
        </w:tc>
        <w:tc>
          <w:tcPr>
            <w:tcW w:w="928" w:type="pct"/>
            <w:vAlign w:val="center"/>
          </w:tcPr>
          <w:p w14:paraId="7534000D">
            <w:pPr>
              <w:jc w:val="center"/>
              <w:rPr>
                <w:sz w:val="18"/>
                <w:szCs w:val="18"/>
              </w:rPr>
            </w:pPr>
            <w:r>
              <w:rPr>
                <w:sz w:val="18"/>
                <w:szCs w:val="18"/>
              </w:rPr>
              <w:t>F350</w:t>
            </w:r>
          </w:p>
        </w:tc>
        <w:tc>
          <w:tcPr>
            <w:tcW w:w="1128" w:type="pct"/>
            <w:vAlign w:val="center"/>
          </w:tcPr>
          <w:p w14:paraId="7534000E">
            <w:pPr>
              <w:jc w:val="center"/>
              <w:rPr>
                <w:sz w:val="18"/>
                <w:szCs w:val="18"/>
              </w:rPr>
            </w:pPr>
            <w:r>
              <w:rPr>
                <w:sz w:val="18"/>
                <w:szCs w:val="18"/>
              </w:rPr>
              <w:t>D150</w:t>
            </w:r>
          </w:p>
        </w:tc>
        <w:tc>
          <w:tcPr>
            <w:tcW w:w="1108" w:type="pct"/>
            <w:vAlign w:val="center"/>
          </w:tcPr>
          <w:p w14:paraId="7534000F">
            <w:pPr>
              <w:jc w:val="center"/>
              <w:rPr>
                <w:sz w:val="18"/>
                <w:szCs w:val="18"/>
              </w:rPr>
            </w:pPr>
            <w:r>
              <w:rPr>
                <w:sz w:val="18"/>
                <w:szCs w:val="18"/>
              </w:rPr>
              <w:t>P8</w:t>
            </w:r>
          </w:p>
        </w:tc>
        <w:tc>
          <w:tcPr>
            <w:tcW w:w="822" w:type="pct"/>
            <w:vAlign w:val="center"/>
          </w:tcPr>
          <w:p w14:paraId="75340010">
            <w:pPr>
              <w:jc w:val="center"/>
              <w:rPr>
                <w:sz w:val="18"/>
                <w:szCs w:val="18"/>
              </w:rPr>
            </w:pPr>
            <w:r>
              <w:rPr>
                <w:sz w:val="18"/>
                <w:szCs w:val="18"/>
              </w:rPr>
              <w:t>KS90</w:t>
            </w:r>
          </w:p>
        </w:tc>
      </w:tr>
      <w:tr w14:paraId="7534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89" w:hRule="atLeast"/>
          <w:jc w:val="center"/>
        </w:trPr>
        <w:tc>
          <w:tcPr>
            <w:tcW w:w="1014" w:type="pct"/>
            <w:vAlign w:val="center"/>
          </w:tcPr>
          <w:p w14:paraId="75340012">
            <w:pPr>
              <w:jc w:val="center"/>
              <w:rPr>
                <w:sz w:val="18"/>
                <w:szCs w:val="18"/>
              </w:rPr>
            </w:pPr>
            <w:r>
              <w:rPr>
                <w:sz w:val="18"/>
                <w:szCs w:val="18"/>
              </w:rPr>
              <w:t>F200</w:t>
            </w:r>
          </w:p>
        </w:tc>
        <w:tc>
          <w:tcPr>
            <w:tcW w:w="928" w:type="pct"/>
            <w:vAlign w:val="center"/>
          </w:tcPr>
          <w:p w14:paraId="75340013">
            <w:pPr>
              <w:jc w:val="center"/>
              <w:rPr>
                <w:sz w:val="18"/>
                <w:szCs w:val="18"/>
              </w:rPr>
            </w:pPr>
            <w:r>
              <w:rPr>
                <w:sz w:val="18"/>
                <w:szCs w:val="18"/>
              </w:rPr>
              <w:t>F400</w:t>
            </w:r>
          </w:p>
        </w:tc>
        <w:tc>
          <w:tcPr>
            <w:tcW w:w="1128" w:type="pct"/>
            <w:vAlign w:val="center"/>
          </w:tcPr>
          <w:p w14:paraId="75340014">
            <w:pPr>
              <w:jc w:val="center"/>
              <w:rPr>
                <w:sz w:val="18"/>
                <w:szCs w:val="18"/>
              </w:rPr>
            </w:pPr>
            <w:r>
              <w:rPr>
                <w:sz w:val="18"/>
                <w:szCs w:val="18"/>
              </w:rPr>
              <w:t>D200</w:t>
            </w:r>
          </w:p>
        </w:tc>
        <w:tc>
          <w:tcPr>
            <w:tcW w:w="1108" w:type="pct"/>
            <w:vAlign w:val="center"/>
          </w:tcPr>
          <w:p w14:paraId="75340015">
            <w:pPr>
              <w:jc w:val="center"/>
              <w:rPr>
                <w:sz w:val="18"/>
                <w:szCs w:val="18"/>
              </w:rPr>
            </w:pPr>
            <w:r>
              <w:rPr>
                <w:sz w:val="18"/>
                <w:szCs w:val="18"/>
              </w:rPr>
              <w:t>P10</w:t>
            </w:r>
          </w:p>
        </w:tc>
        <w:tc>
          <w:tcPr>
            <w:tcW w:w="822" w:type="pct"/>
            <w:vAlign w:val="center"/>
          </w:tcPr>
          <w:p w14:paraId="75340016">
            <w:pPr>
              <w:jc w:val="center"/>
              <w:rPr>
                <w:sz w:val="18"/>
                <w:szCs w:val="18"/>
              </w:rPr>
            </w:pPr>
            <w:r>
              <w:rPr>
                <w:sz w:val="18"/>
                <w:szCs w:val="18"/>
              </w:rPr>
              <w:t>KS120</w:t>
            </w:r>
          </w:p>
        </w:tc>
      </w:tr>
      <w:tr w14:paraId="7534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85" w:hRule="atLeast"/>
          <w:jc w:val="center"/>
        </w:trPr>
        <w:tc>
          <w:tcPr>
            <w:tcW w:w="1942" w:type="pct"/>
            <w:gridSpan w:val="2"/>
            <w:vMerge w:val="restart"/>
            <w:vAlign w:val="center"/>
          </w:tcPr>
          <w:p w14:paraId="75340018">
            <w:pPr>
              <w:jc w:val="center"/>
              <w:rPr>
                <w:sz w:val="18"/>
                <w:szCs w:val="18"/>
              </w:rPr>
            </w:pPr>
            <w:r>
              <w:rPr>
                <w:rFonts w:hAnsi="宋体"/>
                <w:sz w:val="18"/>
                <w:szCs w:val="18"/>
              </w:rPr>
              <w:t>＞</w:t>
            </w:r>
            <w:r>
              <w:rPr>
                <w:sz w:val="18"/>
                <w:szCs w:val="18"/>
              </w:rPr>
              <w:t>F400</w:t>
            </w:r>
          </w:p>
        </w:tc>
        <w:tc>
          <w:tcPr>
            <w:tcW w:w="1128" w:type="pct"/>
            <w:vMerge w:val="restart"/>
            <w:vAlign w:val="center"/>
          </w:tcPr>
          <w:p w14:paraId="75340019">
            <w:pPr>
              <w:jc w:val="center"/>
              <w:rPr>
                <w:sz w:val="18"/>
                <w:szCs w:val="18"/>
              </w:rPr>
            </w:pPr>
            <w:r>
              <w:rPr>
                <w:rFonts w:hAnsi="宋体"/>
                <w:sz w:val="18"/>
                <w:szCs w:val="18"/>
              </w:rPr>
              <w:t>＞</w:t>
            </w:r>
            <w:r>
              <w:rPr>
                <w:sz w:val="18"/>
                <w:szCs w:val="18"/>
              </w:rPr>
              <w:t>D200</w:t>
            </w:r>
          </w:p>
        </w:tc>
        <w:tc>
          <w:tcPr>
            <w:tcW w:w="1108" w:type="pct"/>
            <w:vAlign w:val="center"/>
          </w:tcPr>
          <w:p w14:paraId="7534001A">
            <w:pPr>
              <w:jc w:val="center"/>
              <w:rPr>
                <w:sz w:val="18"/>
                <w:szCs w:val="18"/>
              </w:rPr>
            </w:pPr>
            <w:r>
              <w:rPr>
                <w:sz w:val="18"/>
                <w:szCs w:val="18"/>
              </w:rPr>
              <w:t>P12</w:t>
            </w:r>
          </w:p>
        </w:tc>
        <w:tc>
          <w:tcPr>
            <w:tcW w:w="822" w:type="pct"/>
            <w:vAlign w:val="center"/>
          </w:tcPr>
          <w:p w14:paraId="7534001B">
            <w:pPr>
              <w:jc w:val="center"/>
              <w:rPr>
                <w:sz w:val="18"/>
                <w:szCs w:val="18"/>
              </w:rPr>
            </w:pPr>
            <w:r>
              <w:rPr>
                <w:sz w:val="18"/>
                <w:szCs w:val="18"/>
              </w:rPr>
              <w:t>KS150</w:t>
            </w:r>
          </w:p>
        </w:tc>
      </w:tr>
      <w:tr w14:paraId="7534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00" w:hRule="atLeast"/>
          <w:jc w:val="center"/>
        </w:trPr>
        <w:tc>
          <w:tcPr>
            <w:tcW w:w="1942" w:type="pct"/>
            <w:gridSpan w:val="2"/>
            <w:vMerge w:val="continue"/>
            <w:vAlign w:val="center"/>
          </w:tcPr>
          <w:p w14:paraId="7534001D">
            <w:pPr>
              <w:jc w:val="center"/>
              <w:rPr>
                <w:sz w:val="18"/>
                <w:szCs w:val="18"/>
              </w:rPr>
            </w:pPr>
          </w:p>
        </w:tc>
        <w:tc>
          <w:tcPr>
            <w:tcW w:w="1128" w:type="pct"/>
            <w:vMerge w:val="continue"/>
            <w:vAlign w:val="center"/>
          </w:tcPr>
          <w:p w14:paraId="7534001E">
            <w:pPr>
              <w:jc w:val="center"/>
              <w:rPr>
                <w:sz w:val="18"/>
                <w:szCs w:val="18"/>
              </w:rPr>
            </w:pPr>
          </w:p>
        </w:tc>
        <w:tc>
          <w:tcPr>
            <w:tcW w:w="1108" w:type="pct"/>
            <w:vAlign w:val="center"/>
          </w:tcPr>
          <w:p w14:paraId="7534001F">
            <w:pPr>
              <w:jc w:val="center"/>
              <w:rPr>
                <w:sz w:val="18"/>
                <w:szCs w:val="18"/>
              </w:rPr>
            </w:pPr>
            <w:r>
              <w:rPr>
                <w:rFonts w:hAnsi="宋体"/>
                <w:sz w:val="18"/>
                <w:szCs w:val="18"/>
              </w:rPr>
              <w:t>＞</w:t>
            </w:r>
            <w:r>
              <w:rPr>
                <w:sz w:val="18"/>
                <w:szCs w:val="18"/>
              </w:rPr>
              <w:t>P12</w:t>
            </w:r>
          </w:p>
        </w:tc>
        <w:tc>
          <w:tcPr>
            <w:tcW w:w="822" w:type="pct"/>
            <w:vAlign w:val="center"/>
          </w:tcPr>
          <w:p w14:paraId="75340020">
            <w:pPr>
              <w:jc w:val="center"/>
              <w:rPr>
                <w:sz w:val="18"/>
                <w:szCs w:val="18"/>
              </w:rPr>
            </w:pPr>
            <w:r>
              <w:rPr>
                <w:rFonts w:hAnsi="宋体"/>
                <w:sz w:val="18"/>
                <w:szCs w:val="18"/>
              </w:rPr>
              <w:t>＞</w:t>
            </w:r>
            <w:r>
              <w:rPr>
                <w:sz w:val="18"/>
                <w:szCs w:val="18"/>
              </w:rPr>
              <w:t>KS150</w:t>
            </w:r>
          </w:p>
        </w:tc>
      </w:tr>
    </w:tbl>
    <w:p w14:paraId="75340022">
      <w:pPr>
        <w:topLinePunct/>
        <w:adjustRightInd w:val="0"/>
        <w:spacing w:line="300" w:lineRule="auto"/>
        <w:rPr>
          <w:szCs w:val="21"/>
        </w:rPr>
      </w:pPr>
      <w:r>
        <w:rPr>
          <w:b/>
          <w:szCs w:val="21"/>
        </w:rPr>
        <w:t>3.3.</w:t>
      </w:r>
      <w:r>
        <w:rPr>
          <w:rFonts w:hint="eastAsia"/>
          <w:b/>
          <w:szCs w:val="21"/>
        </w:rPr>
        <w:t>3</w:t>
      </w:r>
      <w:r>
        <w:rPr>
          <w:szCs w:val="21"/>
        </w:rPr>
        <w:t xml:space="preserve">  </w:t>
      </w:r>
      <w:r>
        <w:rPr>
          <w:rFonts w:hAnsi="宋体"/>
          <w:szCs w:val="21"/>
        </w:rPr>
        <w:t>混凝土抗氯离子渗透性能的等级划分应符合下列规定：</w:t>
      </w:r>
    </w:p>
    <w:p w14:paraId="75340023">
      <w:pPr>
        <w:topLinePunct/>
        <w:adjustRightInd w:val="0"/>
        <w:spacing w:line="300" w:lineRule="auto"/>
        <w:ind w:firstLine="420" w:firstLineChars="200"/>
        <w:rPr>
          <w:szCs w:val="21"/>
        </w:rPr>
      </w:pPr>
      <w:r>
        <w:rPr>
          <w:szCs w:val="21"/>
        </w:rPr>
        <w:t>1</w:t>
      </w:r>
      <w:r>
        <w:rPr>
          <w:rFonts w:hint="eastAsia"/>
          <w:szCs w:val="21"/>
        </w:rPr>
        <w:t xml:space="preserve"> </w:t>
      </w:r>
      <w:r>
        <w:rPr>
          <w:rFonts w:hAnsi="宋体"/>
          <w:szCs w:val="21"/>
        </w:rPr>
        <w:t>当采用氯离子迁移系数（</w:t>
      </w:r>
      <w:r>
        <w:rPr>
          <w:szCs w:val="21"/>
        </w:rPr>
        <w:t>RCM</w:t>
      </w:r>
      <w:r>
        <w:rPr>
          <w:rFonts w:hAnsi="宋体"/>
          <w:szCs w:val="21"/>
        </w:rPr>
        <w:t>法）划分混凝土抗氯离子渗透性能等级时，应符合表</w:t>
      </w:r>
      <w:r>
        <w:rPr>
          <w:szCs w:val="21"/>
        </w:rPr>
        <w:t>3.3.</w:t>
      </w:r>
      <w:r>
        <w:rPr>
          <w:rFonts w:hint="eastAsia"/>
          <w:szCs w:val="21"/>
        </w:rPr>
        <w:t>3</w:t>
      </w:r>
      <w:r>
        <w:rPr>
          <w:szCs w:val="21"/>
        </w:rPr>
        <w:t>-1</w:t>
      </w:r>
      <w:r>
        <w:rPr>
          <w:rFonts w:hAnsi="宋体"/>
          <w:szCs w:val="21"/>
        </w:rPr>
        <w:t>的规定，且混凝土龄期应为</w:t>
      </w:r>
      <w:r>
        <w:rPr>
          <w:szCs w:val="21"/>
        </w:rPr>
        <w:t>84d</w:t>
      </w:r>
      <w:r>
        <w:rPr>
          <w:rFonts w:hAnsi="宋体"/>
          <w:szCs w:val="21"/>
        </w:rPr>
        <w:t>。</w:t>
      </w:r>
    </w:p>
    <w:p w14:paraId="75340024">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表3.3.</w:t>
      </w:r>
      <w:r>
        <w:rPr>
          <w:rFonts w:hint="eastAsia" w:ascii="黑体" w:hAnsi="宋体" w:eastAsia="黑体"/>
          <w:sz w:val="18"/>
          <w:szCs w:val="18"/>
        </w:rPr>
        <w:t>3</w:t>
      </w:r>
      <w:r>
        <w:rPr>
          <w:rFonts w:ascii="黑体" w:hAnsi="宋体" w:eastAsia="黑体"/>
          <w:sz w:val="18"/>
          <w:szCs w:val="18"/>
        </w:rPr>
        <w:t>-1  混凝土抗氯离子渗透性能的等级划分（RCM法）</w:t>
      </w:r>
    </w:p>
    <w:tbl>
      <w:tblPr>
        <w:tblStyle w:val="16"/>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57" w:type="dxa"/>
          <w:bottom w:w="0" w:type="dxa"/>
          <w:right w:w="57" w:type="dxa"/>
        </w:tblCellMar>
      </w:tblPr>
      <w:tblGrid>
        <w:gridCol w:w="1719"/>
        <w:gridCol w:w="1398"/>
        <w:gridCol w:w="1440"/>
        <w:gridCol w:w="1416"/>
        <w:gridCol w:w="1463"/>
        <w:gridCol w:w="984"/>
      </w:tblGrid>
      <w:tr w14:paraId="7534002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438" w:hRule="atLeast"/>
          <w:jc w:val="center"/>
        </w:trPr>
        <w:tc>
          <w:tcPr>
            <w:tcW w:w="1021" w:type="pct"/>
            <w:vAlign w:val="center"/>
          </w:tcPr>
          <w:p w14:paraId="75340025">
            <w:pPr>
              <w:jc w:val="center"/>
              <w:rPr>
                <w:sz w:val="18"/>
                <w:szCs w:val="18"/>
              </w:rPr>
            </w:pPr>
            <w:r>
              <w:rPr>
                <w:rFonts w:hAnsi="宋体"/>
                <w:sz w:val="18"/>
                <w:szCs w:val="18"/>
              </w:rPr>
              <w:t>等级</w:t>
            </w:r>
          </w:p>
        </w:tc>
        <w:tc>
          <w:tcPr>
            <w:tcW w:w="830" w:type="pct"/>
            <w:vAlign w:val="center"/>
          </w:tcPr>
          <w:p w14:paraId="75340026">
            <w:pPr>
              <w:jc w:val="center"/>
              <w:rPr>
                <w:sz w:val="18"/>
                <w:szCs w:val="18"/>
              </w:rPr>
            </w:pPr>
            <w:r>
              <w:rPr>
                <w:sz w:val="18"/>
                <w:szCs w:val="18"/>
              </w:rPr>
              <w:t>RCM-</w:t>
            </w:r>
            <w:r>
              <w:rPr>
                <w:rFonts w:ascii="宋体" w:hAnsi="宋体"/>
                <w:sz w:val="18"/>
                <w:szCs w:val="18"/>
              </w:rPr>
              <w:t>Ⅰ</w:t>
            </w:r>
          </w:p>
        </w:tc>
        <w:tc>
          <w:tcPr>
            <w:tcW w:w="855" w:type="pct"/>
            <w:vAlign w:val="center"/>
          </w:tcPr>
          <w:p w14:paraId="75340027">
            <w:pPr>
              <w:jc w:val="center"/>
              <w:rPr>
                <w:sz w:val="18"/>
                <w:szCs w:val="18"/>
              </w:rPr>
            </w:pPr>
            <w:r>
              <w:rPr>
                <w:sz w:val="18"/>
                <w:szCs w:val="18"/>
              </w:rPr>
              <w:t>RCM-</w:t>
            </w:r>
            <w:r>
              <w:rPr>
                <w:rFonts w:ascii="宋体" w:hAnsi="宋体"/>
                <w:sz w:val="18"/>
                <w:szCs w:val="18"/>
              </w:rPr>
              <w:t>Ⅱ</w:t>
            </w:r>
          </w:p>
        </w:tc>
        <w:tc>
          <w:tcPr>
            <w:tcW w:w="841" w:type="pct"/>
            <w:vAlign w:val="center"/>
          </w:tcPr>
          <w:p w14:paraId="75340028">
            <w:pPr>
              <w:jc w:val="center"/>
              <w:rPr>
                <w:sz w:val="18"/>
                <w:szCs w:val="18"/>
              </w:rPr>
            </w:pPr>
            <w:r>
              <w:rPr>
                <w:sz w:val="18"/>
                <w:szCs w:val="18"/>
              </w:rPr>
              <w:t>RCM-</w:t>
            </w:r>
            <w:r>
              <w:rPr>
                <w:rFonts w:ascii="宋体" w:hAnsi="宋体"/>
                <w:sz w:val="18"/>
                <w:szCs w:val="18"/>
              </w:rPr>
              <w:t>Ⅲ</w:t>
            </w:r>
          </w:p>
        </w:tc>
        <w:tc>
          <w:tcPr>
            <w:tcW w:w="869" w:type="pct"/>
            <w:vAlign w:val="center"/>
          </w:tcPr>
          <w:p w14:paraId="75340029">
            <w:pPr>
              <w:jc w:val="center"/>
              <w:rPr>
                <w:sz w:val="18"/>
                <w:szCs w:val="18"/>
              </w:rPr>
            </w:pPr>
            <w:r>
              <w:rPr>
                <w:sz w:val="18"/>
                <w:szCs w:val="18"/>
              </w:rPr>
              <w:t>RCM-</w:t>
            </w:r>
            <w:r>
              <w:rPr>
                <w:rFonts w:ascii="宋体" w:hAnsi="宋体"/>
                <w:sz w:val="18"/>
                <w:szCs w:val="18"/>
              </w:rPr>
              <w:t>Ⅳ</w:t>
            </w:r>
          </w:p>
        </w:tc>
        <w:tc>
          <w:tcPr>
            <w:tcW w:w="584" w:type="pct"/>
            <w:vAlign w:val="center"/>
          </w:tcPr>
          <w:p w14:paraId="7534002A">
            <w:pPr>
              <w:jc w:val="center"/>
              <w:rPr>
                <w:sz w:val="18"/>
                <w:szCs w:val="18"/>
              </w:rPr>
            </w:pPr>
            <w:r>
              <w:rPr>
                <w:sz w:val="18"/>
                <w:szCs w:val="18"/>
              </w:rPr>
              <w:t>RCM-</w:t>
            </w:r>
            <w:r>
              <w:rPr>
                <w:rFonts w:ascii="宋体" w:hAnsi="宋体"/>
                <w:sz w:val="18"/>
                <w:szCs w:val="18"/>
              </w:rPr>
              <w:t>Ⅴ</w:t>
            </w:r>
          </w:p>
        </w:tc>
      </w:tr>
      <w:tr w14:paraId="7534003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438" w:hRule="atLeast"/>
          <w:jc w:val="center"/>
        </w:trPr>
        <w:tc>
          <w:tcPr>
            <w:tcW w:w="1021" w:type="pct"/>
            <w:vAlign w:val="center"/>
          </w:tcPr>
          <w:p w14:paraId="7534002C">
            <w:pPr>
              <w:jc w:val="center"/>
              <w:rPr>
                <w:sz w:val="18"/>
                <w:szCs w:val="18"/>
              </w:rPr>
            </w:pPr>
            <w:r>
              <w:rPr>
                <w:rFonts w:hAnsi="宋体"/>
                <w:sz w:val="18"/>
                <w:szCs w:val="18"/>
              </w:rPr>
              <w:t>氯离子迁移系数</w:t>
            </w:r>
            <w:r>
              <w:rPr>
                <w:i/>
                <w:sz w:val="18"/>
                <w:szCs w:val="18"/>
              </w:rPr>
              <w:t>D</w:t>
            </w:r>
            <w:r>
              <w:rPr>
                <w:sz w:val="18"/>
                <w:szCs w:val="18"/>
                <w:vertAlign w:val="subscript"/>
              </w:rPr>
              <w:t>RCM</w:t>
            </w:r>
            <w:r>
              <w:rPr>
                <w:rFonts w:hAnsi="宋体"/>
                <w:sz w:val="18"/>
                <w:szCs w:val="18"/>
              </w:rPr>
              <w:t>（</w:t>
            </w:r>
            <w:r>
              <w:rPr>
                <w:sz w:val="18"/>
                <w:szCs w:val="18"/>
              </w:rPr>
              <w:t>RCM</w:t>
            </w:r>
            <w:r>
              <w:rPr>
                <w:rFonts w:hAnsi="宋体"/>
                <w:sz w:val="18"/>
                <w:szCs w:val="18"/>
              </w:rPr>
              <w:t>法）（</w:t>
            </w:r>
            <w:r>
              <w:rPr>
                <w:sz w:val="18"/>
                <w:szCs w:val="18"/>
              </w:rPr>
              <w:t>×10</w:t>
            </w:r>
            <w:r>
              <w:rPr>
                <w:sz w:val="18"/>
                <w:szCs w:val="18"/>
                <w:vertAlign w:val="superscript"/>
              </w:rPr>
              <w:t>-12</w:t>
            </w:r>
            <w:r>
              <w:rPr>
                <w:sz w:val="18"/>
                <w:szCs w:val="18"/>
              </w:rPr>
              <w:t>m</w:t>
            </w:r>
            <w:r>
              <w:rPr>
                <w:sz w:val="18"/>
                <w:szCs w:val="18"/>
                <w:vertAlign w:val="superscript"/>
              </w:rPr>
              <w:t>2</w:t>
            </w:r>
            <w:r>
              <w:rPr>
                <w:sz w:val="18"/>
                <w:szCs w:val="18"/>
              </w:rPr>
              <w:t>/s</w:t>
            </w:r>
            <w:r>
              <w:rPr>
                <w:rFonts w:hAnsi="宋体"/>
                <w:sz w:val="18"/>
                <w:szCs w:val="18"/>
              </w:rPr>
              <w:t>）</w:t>
            </w:r>
          </w:p>
        </w:tc>
        <w:tc>
          <w:tcPr>
            <w:tcW w:w="830" w:type="pct"/>
            <w:vAlign w:val="center"/>
          </w:tcPr>
          <w:p w14:paraId="7534002D">
            <w:pPr>
              <w:jc w:val="center"/>
              <w:rPr>
                <w:sz w:val="18"/>
                <w:szCs w:val="18"/>
              </w:rPr>
            </w:pPr>
            <w:r>
              <w:rPr>
                <w:i/>
                <w:sz w:val="18"/>
                <w:szCs w:val="18"/>
              </w:rPr>
              <w:t>D</w:t>
            </w:r>
            <w:r>
              <w:rPr>
                <w:sz w:val="18"/>
                <w:szCs w:val="18"/>
                <w:vertAlign w:val="subscript"/>
              </w:rPr>
              <w:t>RCM</w:t>
            </w:r>
            <w:r>
              <w:rPr>
                <w:sz w:val="18"/>
                <w:szCs w:val="18"/>
              </w:rPr>
              <w:t>≥4.5</w:t>
            </w:r>
          </w:p>
        </w:tc>
        <w:tc>
          <w:tcPr>
            <w:tcW w:w="855" w:type="pct"/>
            <w:vAlign w:val="center"/>
          </w:tcPr>
          <w:p w14:paraId="7534002E">
            <w:pPr>
              <w:jc w:val="center"/>
              <w:rPr>
                <w:sz w:val="18"/>
                <w:szCs w:val="18"/>
              </w:rPr>
            </w:pPr>
            <w:r>
              <w:rPr>
                <w:sz w:val="18"/>
                <w:szCs w:val="18"/>
              </w:rPr>
              <w:t>3.5≤</w:t>
            </w:r>
            <w:r>
              <w:rPr>
                <w:i/>
                <w:sz w:val="18"/>
                <w:szCs w:val="18"/>
              </w:rPr>
              <w:t>D</w:t>
            </w:r>
            <w:r>
              <w:rPr>
                <w:sz w:val="18"/>
                <w:szCs w:val="18"/>
                <w:vertAlign w:val="subscript"/>
              </w:rPr>
              <w:t>RCM</w:t>
            </w:r>
            <w:r>
              <w:rPr>
                <w:rFonts w:hAnsi="宋体"/>
                <w:sz w:val="18"/>
                <w:szCs w:val="18"/>
              </w:rPr>
              <w:t>＜</w:t>
            </w:r>
            <w:r>
              <w:rPr>
                <w:sz w:val="18"/>
                <w:szCs w:val="18"/>
              </w:rPr>
              <w:t>4.5</w:t>
            </w:r>
          </w:p>
        </w:tc>
        <w:tc>
          <w:tcPr>
            <w:tcW w:w="841" w:type="pct"/>
            <w:vAlign w:val="center"/>
          </w:tcPr>
          <w:p w14:paraId="7534002F">
            <w:pPr>
              <w:jc w:val="center"/>
              <w:rPr>
                <w:sz w:val="18"/>
                <w:szCs w:val="18"/>
              </w:rPr>
            </w:pPr>
            <w:r>
              <w:rPr>
                <w:sz w:val="18"/>
                <w:szCs w:val="18"/>
              </w:rPr>
              <w:t>2.5≤</w:t>
            </w:r>
            <w:r>
              <w:rPr>
                <w:i/>
                <w:sz w:val="18"/>
                <w:szCs w:val="18"/>
              </w:rPr>
              <w:t>D</w:t>
            </w:r>
            <w:r>
              <w:rPr>
                <w:sz w:val="18"/>
                <w:szCs w:val="18"/>
                <w:vertAlign w:val="subscript"/>
              </w:rPr>
              <w:t>RCM</w:t>
            </w:r>
            <w:r>
              <w:rPr>
                <w:rFonts w:hAnsi="宋体"/>
                <w:sz w:val="18"/>
                <w:szCs w:val="18"/>
              </w:rPr>
              <w:t>＜</w:t>
            </w:r>
            <w:r>
              <w:rPr>
                <w:sz w:val="18"/>
                <w:szCs w:val="18"/>
              </w:rPr>
              <w:t>3.5</w:t>
            </w:r>
          </w:p>
        </w:tc>
        <w:tc>
          <w:tcPr>
            <w:tcW w:w="869" w:type="pct"/>
            <w:vAlign w:val="center"/>
          </w:tcPr>
          <w:p w14:paraId="75340030">
            <w:pPr>
              <w:jc w:val="center"/>
              <w:rPr>
                <w:sz w:val="18"/>
                <w:szCs w:val="18"/>
              </w:rPr>
            </w:pPr>
            <w:r>
              <w:rPr>
                <w:sz w:val="18"/>
                <w:szCs w:val="18"/>
              </w:rPr>
              <w:t>1.5≤</w:t>
            </w:r>
            <w:r>
              <w:rPr>
                <w:i/>
                <w:sz w:val="18"/>
                <w:szCs w:val="18"/>
              </w:rPr>
              <w:t>D</w:t>
            </w:r>
            <w:r>
              <w:rPr>
                <w:sz w:val="18"/>
                <w:szCs w:val="18"/>
                <w:vertAlign w:val="subscript"/>
              </w:rPr>
              <w:t>RCM</w:t>
            </w:r>
            <w:r>
              <w:rPr>
                <w:rFonts w:hAnsi="宋体"/>
                <w:sz w:val="18"/>
                <w:szCs w:val="18"/>
              </w:rPr>
              <w:t>＜</w:t>
            </w:r>
            <w:r>
              <w:rPr>
                <w:sz w:val="18"/>
                <w:szCs w:val="18"/>
              </w:rPr>
              <w:t>2.5</w:t>
            </w:r>
          </w:p>
        </w:tc>
        <w:tc>
          <w:tcPr>
            <w:tcW w:w="584" w:type="pct"/>
            <w:vAlign w:val="center"/>
          </w:tcPr>
          <w:p w14:paraId="75340031">
            <w:pPr>
              <w:jc w:val="center"/>
              <w:rPr>
                <w:sz w:val="18"/>
                <w:szCs w:val="18"/>
              </w:rPr>
            </w:pPr>
            <w:r>
              <w:rPr>
                <w:i/>
                <w:sz w:val="18"/>
                <w:szCs w:val="18"/>
              </w:rPr>
              <w:t>D</w:t>
            </w:r>
            <w:r>
              <w:rPr>
                <w:sz w:val="18"/>
                <w:szCs w:val="18"/>
                <w:vertAlign w:val="subscript"/>
              </w:rPr>
              <w:t>RCM</w:t>
            </w:r>
            <w:r>
              <w:rPr>
                <w:rFonts w:hAnsi="宋体"/>
                <w:sz w:val="18"/>
                <w:szCs w:val="18"/>
              </w:rPr>
              <w:t>＜</w:t>
            </w:r>
            <w:r>
              <w:rPr>
                <w:sz w:val="18"/>
                <w:szCs w:val="18"/>
              </w:rPr>
              <w:t>1.5</w:t>
            </w:r>
          </w:p>
        </w:tc>
      </w:tr>
    </w:tbl>
    <w:p w14:paraId="75340033">
      <w:pPr>
        <w:topLinePunct/>
        <w:adjustRightInd w:val="0"/>
        <w:spacing w:line="300" w:lineRule="auto"/>
        <w:ind w:firstLine="420" w:firstLineChars="200"/>
        <w:rPr>
          <w:szCs w:val="21"/>
        </w:rPr>
      </w:pPr>
      <w:r>
        <w:rPr>
          <w:szCs w:val="21"/>
        </w:rPr>
        <w:t>2</w:t>
      </w:r>
      <w:r>
        <w:rPr>
          <w:rFonts w:hint="eastAsia"/>
          <w:szCs w:val="21"/>
        </w:rPr>
        <w:t xml:space="preserve"> </w:t>
      </w:r>
      <w:r>
        <w:rPr>
          <w:rFonts w:hAnsi="宋体"/>
          <w:szCs w:val="21"/>
        </w:rPr>
        <w:t>当采用电通量划分混凝土抗氯离子渗透性能等级时，应符合表</w:t>
      </w:r>
      <w:r>
        <w:rPr>
          <w:szCs w:val="21"/>
        </w:rPr>
        <w:t>3.3.</w:t>
      </w:r>
      <w:r>
        <w:rPr>
          <w:rFonts w:hint="eastAsia"/>
          <w:szCs w:val="21"/>
        </w:rPr>
        <w:t>3-</w:t>
      </w:r>
      <w:r>
        <w:rPr>
          <w:szCs w:val="21"/>
        </w:rPr>
        <w:t>2</w:t>
      </w:r>
      <w:r>
        <w:rPr>
          <w:rFonts w:hAnsi="宋体"/>
          <w:szCs w:val="21"/>
        </w:rPr>
        <w:t>的规定，且混凝土龄期宜为</w:t>
      </w:r>
      <w:r>
        <w:rPr>
          <w:szCs w:val="21"/>
        </w:rPr>
        <w:t>28d</w:t>
      </w:r>
      <w:r>
        <w:rPr>
          <w:rFonts w:hAnsi="宋体"/>
          <w:szCs w:val="21"/>
        </w:rPr>
        <w:t>。当混凝土中水泥混合材与矿物掺合料之和超过胶凝材料用量的</w:t>
      </w:r>
      <w:r>
        <w:rPr>
          <w:szCs w:val="21"/>
        </w:rPr>
        <w:t>50%</w:t>
      </w:r>
      <w:r>
        <w:rPr>
          <w:rFonts w:hAnsi="宋体"/>
          <w:szCs w:val="21"/>
        </w:rPr>
        <w:t>时，测试龄期可为</w:t>
      </w:r>
      <w:r>
        <w:rPr>
          <w:szCs w:val="21"/>
        </w:rPr>
        <w:t>56d</w:t>
      </w:r>
      <w:r>
        <w:rPr>
          <w:rFonts w:hAnsi="宋体"/>
          <w:szCs w:val="21"/>
        </w:rPr>
        <w:t>。</w:t>
      </w:r>
    </w:p>
    <w:p w14:paraId="75340034">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表3.3.</w:t>
      </w:r>
      <w:r>
        <w:rPr>
          <w:rFonts w:hint="eastAsia" w:ascii="黑体" w:hAnsi="宋体" w:eastAsia="黑体"/>
          <w:sz w:val="18"/>
          <w:szCs w:val="18"/>
        </w:rPr>
        <w:t>3</w:t>
      </w:r>
      <w:r>
        <w:rPr>
          <w:rFonts w:ascii="黑体" w:hAnsi="宋体" w:eastAsia="黑体"/>
          <w:sz w:val="18"/>
          <w:szCs w:val="18"/>
        </w:rPr>
        <w:t>-2  混凝土抗氯离子渗透性能的等级划分（电通量法）</w:t>
      </w:r>
    </w:p>
    <w:tbl>
      <w:tblPr>
        <w:tblStyle w:val="16"/>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57" w:type="dxa"/>
          <w:bottom w:w="0" w:type="dxa"/>
          <w:right w:w="57" w:type="dxa"/>
        </w:tblCellMar>
      </w:tblPr>
      <w:tblGrid>
        <w:gridCol w:w="1499"/>
        <w:gridCol w:w="1078"/>
        <w:gridCol w:w="1620"/>
        <w:gridCol w:w="1605"/>
        <w:gridCol w:w="1635"/>
        <w:gridCol w:w="983"/>
      </w:tblGrid>
      <w:tr w14:paraId="7534003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438" w:hRule="atLeast"/>
          <w:jc w:val="center"/>
        </w:trPr>
        <w:tc>
          <w:tcPr>
            <w:tcW w:w="890" w:type="pct"/>
            <w:vAlign w:val="center"/>
          </w:tcPr>
          <w:p w14:paraId="75340035">
            <w:pPr>
              <w:jc w:val="center"/>
              <w:rPr>
                <w:sz w:val="18"/>
                <w:szCs w:val="18"/>
              </w:rPr>
            </w:pPr>
            <w:r>
              <w:rPr>
                <w:rFonts w:hAnsi="宋体"/>
                <w:sz w:val="18"/>
                <w:szCs w:val="18"/>
              </w:rPr>
              <w:t>等级</w:t>
            </w:r>
          </w:p>
        </w:tc>
        <w:tc>
          <w:tcPr>
            <w:tcW w:w="640" w:type="pct"/>
            <w:vAlign w:val="center"/>
          </w:tcPr>
          <w:p w14:paraId="75340036">
            <w:pPr>
              <w:jc w:val="center"/>
              <w:rPr>
                <w:sz w:val="18"/>
                <w:szCs w:val="18"/>
              </w:rPr>
            </w:pPr>
            <w:r>
              <w:rPr>
                <w:sz w:val="18"/>
                <w:szCs w:val="18"/>
              </w:rPr>
              <w:t>Q-</w:t>
            </w:r>
            <w:r>
              <w:rPr>
                <w:rFonts w:hAnsi="宋体"/>
                <w:sz w:val="18"/>
                <w:szCs w:val="18"/>
              </w:rPr>
              <w:t>Ⅰ</w:t>
            </w:r>
          </w:p>
        </w:tc>
        <w:tc>
          <w:tcPr>
            <w:tcW w:w="962" w:type="pct"/>
            <w:vAlign w:val="center"/>
          </w:tcPr>
          <w:p w14:paraId="75340037">
            <w:pPr>
              <w:jc w:val="center"/>
              <w:rPr>
                <w:sz w:val="18"/>
                <w:szCs w:val="18"/>
              </w:rPr>
            </w:pPr>
            <w:r>
              <w:rPr>
                <w:sz w:val="18"/>
                <w:szCs w:val="18"/>
              </w:rPr>
              <w:t>Q-</w:t>
            </w:r>
            <w:r>
              <w:rPr>
                <w:rFonts w:hAnsi="宋体"/>
                <w:sz w:val="18"/>
                <w:szCs w:val="18"/>
              </w:rPr>
              <w:t>Ⅱ</w:t>
            </w:r>
          </w:p>
        </w:tc>
        <w:tc>
          <w:tcPr>
            <w:tcW w:w="953" w:type="pct"/>
            <w:vAlign w:val="center"/>
          </w:tcPr>
          <w:p w14:paraId="75340038">
            <w:pPr>
              <w:jc w:val="center"/>
              <w:rPr>
                <w:sz w:val="18"/>
                <w:szCs w:val="18"/>
              </w:rPr>
            </w:pPr>
            <w:r>
              <w:rPr>
                <w:sz w:val="18"/>
                <w:szCs w:val="18"/>
              </w:rPr>
              <w:t>Q-</w:t>
            </w:r>
            <w:r>
              <w:rPr>
                <w:rFonts w:hAnsi="宋体"/>
                <w:sz w:val="18"/>
                <w:szCs w:val="18"/>
              </w:rPr>
              <w:t>Ⅲ</w:t>
            </w:r>
          </w:p>
        </w:tc>
        <w:tc>
          <w:tcPr>
            <w:tcW w:w="971" w:type="pct"/>
            <w:vAlign w:val="center"/>
          </w:tcPr>
          <w:p w14:paraId="75340039">
            <w:pPr>
              <w:jc w:val="center"/>
              <w:rPr>
                <w:sz w:val="18"/>
                <w:szCs w:val="18"/>
              </w:rPr>
            </w:pPr>
            <w:r>
              <w:rPr>
                <w:sz w:val="18"/>
                <w:szCs w:val="18"/>
              </w:rPr>
              <w:t>Q-</w:t>
            </w:r>
            <w:r>
              <w:rPr>
                <w:rFonts w:hAnsi="宋体"/>
                <w:sz w:val="18"/>
                <w:szCs w:val="18"/>
              </w:rPr>
              <w:t>Ⅳ</w:t>
            </w:r>
          </w:p>
        </w:tc>
        <w:tc>
          <w:tcPr>
            <w:tcW w:w="584" w:type="pct"/>
            <w:vAlign w:val="center"/>
          </w:tcPr>
          <w:p w14:paraId="7534003A">
            <w:pPr>
              <w:jc w:val="center"/>
              <w:rPr>
                <w:sz w:val="18"/>
                <w:szCs w:val="18"/>
              </w:rPr>
            </w:pPr>
            <w:r>
              <w:rPr>
                <w:sz w:val="18"/>
                <w:szCs w:val="18"/>
              </w:rPr>
              <w:t>Q-</w:t>
            </w:r>
            <w:r>
              <w:rPr>
                <w:rFonts w:hAnsi="宋体"/>
                <w:sz w:val="18"/>
                <w:szCs w:val="18"/>
              </w:rPr>
              <w:t>Ⅴ</w:t>
            </w:r>
          </w:p>
        </w:tc>
      </w:tr>
      <w:tr w14:paraId="7534004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438" w:hRule="atLeast"/>
          <w:jc w:val="center"/>
        </w:trPr>
        <w:tc>
          <w:tcPr>
            <w:tcW w:w="890" w:type="pct"/>
            <w:vAlign w:val="center"/>
          </w:tcPr>
          <w:p w14:paraId="7534003C">
            <w:pPr>
              <w:jc w:val="center"/>
              <w:rPr>
                <w:sz w:val="18"/>
                <w:szCs w:val="18"/>
              </w:rPr>
            </w:pPr>
            <w:r>
              <w:rPr>
                <w:rFonts w:hAnsi="宋体"/>
                <w:sz w:val="18"/>
                <w:szCs w:val="18"/>
              </w:rPr>
              <w:t>电通量</w:t>
            </w:r>
            <w:r>
              <w:rPr>
                <w:i/>
                <w:sz w:val="18"/>
                <w:szCs w:val="18"/>
              </w:rPr>
              <w:t>Q</w:t>
            </w:r>
            <w:r>
              <w:rPr>
                <w:sz w:val="18"/>
                <w:szCs w:val="18"/>
                <w:vertAlign w:val="subscript"/>
              </w:rPr>
              <w:t>S</w:t>
            </w:r>
            <w:r>
              <w:rPr>
                <w:rFonts w:hAnsi="宋体"/>
                <w:sz w:val="18"/>
                <w:szCs w:val="18"/>
              </w:rPr>
              <w:t>（</w:t>
            </w:r>
            <w:r>
              <w:rPr>
                <w:sz w:val="18"/>
                <w:szCs w:val="18"/>
              </w:rPr>
              <w:t>C</w:t>
            </w:r>
            <w:r>
              <w:rPr>
                <w:rFonts w:hAnsi="宋体"/>
                <w:sz w:val="18"/>
                <w:szCs w:val="18"/>
              </w:rPr>
              <w:t>）</w:t>
            </w:r>
          </w:p>
        </w:tc>
        <w:tc>
          <w:tcPr>
            <w:tcW w:w="640" w:type="pct"/>
            <w:vAlign w:val="center"/>
          </w:tcPr>
          <w:p w14:paraId="7534003D">
            <w:pPr>
              <w:jc w:val="center"/>
              <w:rPr>
                <w:sz w:val="18"/>
                <w:szCs w:val="18"/>
              </w:rPr>
            </w:pPr>
            <w:r>
              <w:rPr>
                <w:i/>
                <w:sz w:val="18"/>
                <w:szCs w:val="18"/>
              </w:rPr>
              <w:t>Q</w:t>
            </w:r>
            <w:r>
              <w:rPr>
                <w:sz w:val="18"/>
                <w:szCs w:val="18"/>
                <w:vertAlign w:val="subscript"/>
              </w:rPr>
              <w:t>S</w:t>
            </w:r>
            <w:r>
              <w:rPr>
                <w:sz w:val="18"/>
                <w:szCs w:val="18"/>
              </w:rPr>
              <w:t>≥4000</w:t>
            </w:r>
          </w:p>
        </w:tc>
        <w:tc>
          <w:tcPr>
            <w:tcW w:w="962" w:type="pct"/>
            <w:vAlign w:val="center"/>
          </w:tcPr>
          <w:p w14:paraId="7534003E">
            <w:pPr>
              <w:jc w:val="center"/>
              <w:rPr>
                <w:sz w:val="18"/>
                <w:szCs w:val="18"/>
              </w:rPr>
            </w:pPr>
            <w:r>
              <w:rPr>
                <w:sz w:val="18"/>
                <w:szCs w:val="18"/>
              </w:rPr>
              <w:t>2000≤</w:t>
            </w:r>
            <w:r>
              <w:rPr>
                <w:i/>
                <w:sz w:val="18"/>
                <w:szCs w:val="18"/>
              </w:rPr>
              <w:t>Q</w:t>
            </w:r>
            <w:r>
              <w:rPr>
                <w:sz w:val="18"/>
                <w:szCs w:val="18"/>
                <w:vertAlign w:val="subscript"/>
              </w:rPr>
              <w:t>S</w:t>
            </w:r>
            <w:r>
              <w:rPr>
                <w:rFonts w:hAnsi="宋体"/>
                <w:sz w:val="18"/>
                <w:szCs w:val="18"/>
              </w:rPr>
              <w:t>＜</w:t>
            </w:r>
            <w:r>
              <w:rPr>
                <w:sz w:val="18"/>
                <w:szCs w:val="18"/>
              </w:rPr>
              <w:t>4000</w:t>
            </w:r>
          </w:p>
        </w:tc>
        <w:tc>
          <w:tcPr>
            <w:tcW w:w="953" w:type="pct"/>
            <w:vAlign w:val="center"/>
          </w:tcPr>
          <w:p w14:paraId="7534003F">
            <w:pPr>
              <w:jc w:val="center"/>
              <w:rPr>
                <w:sz w:val="18"/>
                <w:szCs w:val="18"/>
              </w:rPr>
            </w:pPr>
            <w:r>
              <w:rPr>
                <w:sz w:val="18"/>
                <w:szCs w:val="18"/>
              </w:rPr>
              <w:t>1000≤</w:t>
            </w:r>
            <w:r>
              <w:rPr>
                <w:i/>
                <w:sz w:val="18"/>
                <w:szCs w:val="18"/>
              </w:rPr>
              <w:t>Q</w:t>
            </w:r>
            <w:r>
              <w:rPr>
                <w:sz w:val="18"/>
                <w:szCs w:val="18"/>
                <w:vertAlign w:val="subscript"/>
              </w:rPr>
              <w:t>S</w:t>
            </w:r>
            <w:r>
              <w:rPr>
                <w:rFonts w:hAnsi="宋体"/>
                <w:sz w:val="18"/>
                <w:szCs w:val="18"/>
              </w:rPr>
              <w:t>＜</w:t>
            </w:r>
            <w:r>
              <w:rPr>
                <w:sz w:val="18"/>
                <w:szCs w:val="18"/>
              </w:rPr>
              <w:t>2000</w:t>
            </w:r>
          </w:p>
        </w:tc>
        <w:tc>
          <w:tcPr>
            <w:tcW w:w="971" w:type="pct"/>
            <w:vAlign w:val="center"/>
          </w:tcPr>
          <w:p w14:paraId="75340040">
            <w:pPr>
              <w:jc w:val="center"/>
              <w:rPr>
                <w:sz w:val="18"/>
                <w:szCs w:val="18"/>
              </w:rPr>
            </w:pPr>
            <w:r>
              <w:rPr>
                <w:sz w:val="18"/>
                <w:szCs w:val="18"/>
              </w:rPr>
              <w:t>500≤</w:t>
            </w:r>
            <w:r>
              <w:rPr>
                <w:i/>
                <w:sz w:val="18"/>
                <w:szCs w:val="18"/>
              </w:rPr>
              <w:t>Q</w:t>
            </w:r>
            <w:r>
              <w:rPr>
                <w:sz w:val="18"/>
                <w:szCs w:val="18"/>
                <w:vertAlign w:val="subscript"/>
              </w:rPr>
              <w:t>S</w:t>
            </w:r>
            <w:r>
              <w:rPr>
                <w:rFonts w:hAnsi="宋体"/>
                <w:sz w:val="18"/>
                <w:szCs w:val="18"/>
              </w:rPr>
              <w:t>＜</w:t>
            </w:r>
            <w:r>
              <w:rPr>
                <w:sz w:val="18"/>
                <w:szCs w:val="18"/>
              </w:rPr>
              <w:t>1000</w:t>
            </w:r>
          </w:p>
        </w:tc>
        <w:tc>
          <w:tcPr>
            <w:tcW w:w="584" w:type="pct"/>
            <w:vAlign w:val="center"/>
          </w:tcPr>
          <w:p w14:paraId="75340041">
            <w:pPr>
              <w:jc w:val="center"/>
              <w:rPr>
                <w:sz w:val="18"/>
                <w:szCs w:val="18"/>
              </w:rPr>
            </w:pPr>
            <w:r>
              <w:rPr>
                <w:i/>
                <w:sz w:val="18"/>
                <w:szCs w:val="18"/>
              </w:rPr>
              <w:t>Q</w:t>
            </w:r>
            <w:r>
              <w:rPr>
                <w:sz w:val="18"/>
                <w:szCs w:val="18"/>
                <w:vertAlign w:val="subscript"/>
              </w:rPr>
              <w:t>S</w:t>
            </w:r>
            <w:r>
              <w:rPr>
                <w:rFonts w:hAnsi="宋体"/>
                <w:sz w:val="18"/>
                <w:szCs w:val="18"/>
              </w:rPr>
              <w:t>＜</w:t>
            </w:r>
            <w:r>
              <w:rPr>
                <w:sz w:val="18"/>
                <w:szCs w:val="18"/>
              </w:rPr>
              <w:t>500</w:t>
            </w:r>
          </w:p>
        </w:tc>
      </w:tr>
    </w:tbl>
    <w:p w14:paraId="75340043">
      <w:pPr>
        <w:topLinePunct/>
        <w:adjustRightInd w:val="0"/>
        <w:spacing w:line="300" w:lineRule="auto"/>
        <w:rPr>
          <w:szCs w:val="21"/>
        </w:rPr>
      </w:pPr>
      <w:r>
        <w:rPr>
          <w:b/>
          <w:szCs w:val="21"/>
        </w:rPr>
        <w:t>3.3.</w:t>
      </w:r>
      <w:r>
        <w:rPr>
          <w:rFonts w:hint="eastAsia"/>
          <w:b/>
          <w:szCs w:val="21"/>
        </w:rPr>
        <w:t>4</w:t>
      </w:r>
      <w:r>
        <w:rPr>
          <w:b/>
          <w:szCs w:val="21"/>
        </w:rPr>
        <w:t xml:space="preserve"> </w:t>
      </w:r>
      <w:r>
        <w:rPr>
          <w:szCs w:val="21"/>
        </w:rPr>
        <w:t xml:space="preserve"> </w:t>
      </w:r>
      <w:r>
        <w:rPr>
          <w:rFonts w:hAnsi="宋体"/>
          <w:szCs w:val="21"/>
        </w:rPr>
        <w:t>混凝土抗碳化性能等级划分应符合表</w:t>
      </w:r>
      <w:r>
        <w:rPr>
          <w:szCs w:val="21"/>
        </w:rPr>
        <w:t>3.3.</w:t>
      </w:r>
      <w:r>
        <w:rPr>
          <w:rFonts w:hint="eastAsia"/>
          <w:szCs w:val="21"/>
        </w:rPr>
        <w:t>4</w:t>
      </w:r>
      <w:r>
        <w:rPr>
          <w:rFonts w:hAnsi="宋体"/>
          <w:szCs w:val="21"/>
        </w:rPr>
        <w:t>的规定。</w:t>
      </w:r>
    </w:p>
    <w:p w14:paraId="75340044">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表3.3.</w:t>
      </w:r>
      <w:r>
        <w:rPr>
          <w:rFonts w:hint="eastAsia" w:ascii="黑体" w:hAnsi="宋体" w:eastAsia="黑体"/>
          <w:sz w:val="18"/>
          <w:szCs w:val="18"/>
        </w:rPr>
        <w:t>4</w:t>
      </w:r>
      <w:r>
        <w:rPr>
          <w:rFonts w:ascii="黑体" w:hAnsi="宋体" w:eastAsia="黑体"/>
          <w:sz w:val="18"/>
          <w:szCs w:val="18"/>
        </w:rPr>
        <w:t xml:space="preserve">  混凝土抗碳化性能的等级划分</w:t>
      </w:r>
    </w:p>
    <w:tbl>
      <w:tblPr>
        <w:tblStyle w:val="16"/>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57" w:type="dxa"/>
          <w:bottom w:w="0" w:type="dxa"/>
          <w:right w:w="57" w:type="dxa"/>
        </w:tblCellMar>
      </w:tblPr>
      <w:tblGrid>
        <w:gridCol w:w="1869"/>
        <w:gridCol w:w="1310"/>
        <w:gridCol w:w="1310"/>
        <w:gridCol w:w="1310"/>
        <w:gridCol w:w="1310"/>
        <w:gridCol w:w="1311"/>
      </w:tblGrid>
      <w:tr w14:paraId="7534004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438" w:hRule="atLeast"/>
          <w:jc w:val="center"/>
        </w:trPr>
        <w:tc>
          <w:tcPr>
            <w:tcW w:w="1110" w:type="pct"/>
            <w:vAlign w:val="center"/>
          </w:tcPr>
          <w:p w14:paraId="75340045">
            <w:pPr>
              <w:jc w:val="center"/>
              <w:rPr>
                <w:sz w:val="18"/>
                <w:szCs w:val="18"/>
              </w:rPr>
            </w:pPr>
            <w:r>
              <w:rPr>
                <w:rFonts w:hAnsi="宋体"/>
                <w:sz w:val="18"/>
                <w:szCs w:val="18"/>
              </w:rPr>
              <w:t>等级</w:t>
            </w:r>
          </w:p>
        </w:tc>
        <w:tc>
          <w:tcPr>
            <w:tcW w:w="778" w:type="pct"/>
            <w:vAlign w:val="center"/>
          </w:tcPr>
          <w:p w14:paraId="75340046">
            <w:pPr>
              <w:jc w:val="center"/>
              <w:rPr>
                <w:sz w:val="18"/>
                <w:szCs w:val="18"/>
              </w:rPr>
            </w:pPr>
            <w:r>
              <w:rPr>
                <w:sz w:val="18"/>
                <w:szCs w:val="18"/>
              </w:rPr>
              <w:t>T-</w:t>
            </w:r>
            <w:r>
              <w:rPr>
                <w:rFonts w:hAnsi="宋体"/>
                <w:sz w:val="18"/>
                <w:szCs w:val="18"/>
              </w:rPr>
              <w:t>Ⅰ</w:t>
            </w:r>
          </w:p>
        </w:tc>
        <w:tc>
          <w:tcPr>
            <w:tcW w:w="778" w:type="pct"/>
            <w:vAlign w:val="center"/>
          </w:tcPr>
          <w:p w14:paraId="75340047">
            <w:pPr>
              <w:jc w:val="center"/>
              <w:rPr>
                <w:sz w:val="18"/>
                <w:szCs w:val="18"/>
              </w:rPr>
            </w:pPr>
            <w:r>
              <w:rPr>
                <w:sz w:val="18"/>
                <w:szCs w:val="18"/>
              </w:rPr>
              <w:t>T-</w:t>
            </w:r>
            <w:r>
              <w:rPr>
                <w:rFonts w:hAnsi="宋体"/>
                <w:sz w:val="18"/>
                <w:szCs w:val="18"/>
              </w:rPr>
              <w:t>Ⅱ</w:t>
            </w:r>
          </w:p>
        </w:tc>
        <w:tc>
          <w:tcPr>
            <w:tcW w:w="778" w:type="pct"/>
            <w:vAlign w:val="center"/>
          </w:tcPr>
          <w:p w14:paraId="75340048">
            <w:pPr>
              <w:jc w:val="center"/>
              <w:rPr>
                <w:sz w:val="18"/>
                <w:szCs w:val="18"/>
              </w:rPr>
            </w:pPr>
            <w:r>
              <w:rPr>
                <w:sz w:val="18"/>
                <w:szCs w:val="18"/>
              </w:rPr>
              <w:t>T-</w:t>
            </w:r>
            <w:r>
              <w:rPr>
                <w:rFonts w:hAnsi="宋体"/>
                <w:sz w:val="18"/>
                <w:szCs w:val="18"/>
              </w:rPr>
              <w:t>Ⅲ</w:t>
            </w:r>
          </w:p>
        </w:tc>
        <w:tc>
          <w:tcPr>
            <w:tcW w:w="778" w:type="pct"/>
            <w:vAlign w:val="center"/>
          </w:tcPr>
          <w:p w14:paraId="75340049">
            <w:pPr>
              <w:jc w:val="center"/>
              <w:rPr>
                <w:sz w:val="18"/>
                <w:szCs w:val="18"/>
              </w:rPr>
            </w:pPr>
            <w:r>
              <w:rPr>
                <w:sz w:val="18"/>
                <w:szCs w:val="18"/>
              </w:rPr>
              <w:t>T-</w:t>
            </w:r>
            <w:r>
              <w:rPr>
                <w:rFonts w:hAnsi="宋体"/>
                <w:sz w:val="18"/>
                <w:szCs w:val="18"/>
              </w:rPr>
              <w:t>Ⅳ</w:t>
            </w:r>
          </w:p>
        </w:tc>
        <w:tc>
          <w:tcPr>
            <w:tcW w:w="778" w:type="pct"/>
            <w:vAlign w:val="center"/>
          </w:tcPr>
          <w:p w14:paraId="7534004A">
            <w:pPr>
              <w:jc w:val="center"/>
              <w:rPr>
                <w:sz w:val="18"/>
                <w:szCs w:val="18"/>
              </w:rPr>
            </w:pPr>
            <w:r>
              <w:rPr>
                <w:sz w:val="18"/>
                <w:szCs w:val="18"/>
              </w:rPr>
              <w:t>T-</w:t>
            </w:r>
            <w:r>
              <w:rPr>
                <w:rFonts w:hAnsi="宋体"/>
                <w:sz w:val="18"/>
                <w:szCs w:val="18"/>
              </w:rPr>
              <w:t>Ⅴ</w:t>
            </w:r>
          </w:p>
        </w:tc>
      </w:tr>
      <w:tr w14:paraId="7534005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438" w:hRule="atLeast"/>
          <w:jc w:val="center"/>
        </w:trPr>
        <w:tc>
          <w:tcPr>
            <w:tcW w:w="1110" w:type="pct"/>
            <w:vAlign w:val="center"/>
          </w:tcPr>
          <w:p w14:paraId="7534004C">
            <w:pPr>
              <w:jc w:val="center"/>
              <w:rPr>
                <w:sz w:val="18"/>
                <w:szCs w:val="18"/>
              </w:rPr>
            </w:pPr>
            <w:r>
              <w:rPr>
                <w:rFonts w:hAnsi="宋体"/>
                <w:sz w:val="18"/>
                <w:szCs w:val="18"/>
              </w:rPr>
              <w:t>碳化深度</w:t>
            </w:r>
            <w:r>
              <w:rPr>
                <w:i/>
                <w:sz w:val="18"/>
                <w:szCs w:val="18"/>
              </w:rPr>
              <w:t>d</w:t>
            </w:r>
            <w:r>
              <w:rPr>
                <w:rFonts w:hAnsi="宋体"/>
                <w:sz w:val="18"/>
                <w:szCs w:val="18"/>
              </w:rPr>
              <w:t>（</w:t>
            </w:r>
            <w:r>
              <w:rPr>
                <w:sz w:val="18"/>
                <w:szCs w:val="18"/>
              </w:rPr>
              <w:t>mm</w:t>
            </w:r>
            <w:r>
              <w:rPr>
                <w:rFonts w:hAnsi="宋体"/>
                <w:sz w:val="18"/>
                <w:szCs w:val="18"/>
              </w:rPr>
              <w:t>）</w:t>
            </w:r>
          </w:p>
        </w:tc>
        <w:tc>
          <w:tcPr>
            <w:tcW w:w="778" w:type="pct"/>
            <w:vAlign w:val="center"/>
          </w:tcPr>
          <w:p w14:paraId="7534004D">
            <w:pPr>
              <w:jc w:val="center"/>
              <w:rPr>
                <w:sz w:val="18"/>
                <w:szCs w:val="18"/>
              </w:rPr>
            </w:pPr>
            <w:r>
              <w:rPr>
                <w:i/>
                <w:sz w:val="18"/>
                <w:szCs w:val="18"/>
              </w:rPr>
              <w:t>d</w:t>
            </w:r>
            <w:r>
              <w:rPr>
                <w:sz w:val="18"/>
                <w:szCs w:val="18"/>
              </w:rPr>
              <w:t>≥30</w:t>
            </w:r>
          </w:p>
        </w:tc>
        <w:tc>
          <w:tcPr>
            <w:tcW w:w="778" w:type="pct"/>
            <w:vAlign w:val="center"/>
          </w:tcPr>
          <w:p w14:paraId="7534004E">
            <w:pPr>
              <w:jc w:val="center"/>
              <w:rPr>
                <w:sz w:val="18"/>
                <w:szCs w:val="18"/>
              </w:rPr>
            </w:pPr>
            <w:r>
              <w:rPr>
                <w:sz w:val="18"/>
                <w:szCs w:val="18"/>
              </w:rPr>
              <w:t>20≤</w:t>
            </w:r>
            <w:r>
              <w:rPr>
                <w:i/>
                <w:sz w:val="18"/>
                <w:szCs w:val="18"/>
              </w:rPr>
              <w:t>d</w:t>
            </w:r>
            <w:r>
              <w:rPr>
                <w:rFonts w:hAnsi="宋体"/>
                <w:sz w:val="18"/>
                <w:szCs w:val="18"/>
              </w:rPr>
              <w:t>＜</w:t>
            </w:r>
            <w:r>
              <w:rPr>
                <w:sz w:val="18"/>
                <w:szCs w:val="18"/>
              </w:rPr>
              <w:t>30</w:t>
            </w:r>
          </w:p>
        </w:tc>
        <w:tc>
          <w:tcPr>
            <w:tcW w:w="778" w:type="pct"/>
            <w:vAlign w:val="center"/>
          </w:tcPr>
          <w:p w14:paraId="7534004F">
            <w:pPr>
              <w:jc w:val="center"/>
              <w:rPr>
                <w:sz w:val="18"/>
                <w:szCs w:val="18"/>
              </w:rPr>
            </w:pPr>
            <w:r>
              <w:rPr>
                <w:sz w:val="18"/>
                <w:szCs w:val="18"/>
              </w:rPr>
              <w:t>10≤</w:t>
            </w:r>
            <w:r>
              <w:rPr>
                <w:i/>
                <w:sz w:val="18"/>
                <w:szCs w:val="18"/>
              </w:rPr>
              <w:t>d</w:t>
            </w:r>
            <w:r>
              <w:rPr>
                <w:rFonts w:hAnsi="宋体"/>
                <w:sz w:val="18"/>
                <w:szCs w:val="18"/>
              </w:rPr>
              <w:t>＜</w:t>
            </w:r>
            <w:r>
              <w:rPr>
                <w:sz w:val="18"/>
                <w:szCs w:val="18"/>
              </w:rPr>
              <w:t>20</w:t>
            </w:r>
          </w:p>
        </w:tc>
        <w:tc>
          <w:tcPr>
            <w:tcW w:w="778" w:type="pct"/>
            <w:vAlign w:val="center"/>
          </w:tcPr>
          <w:p w14:paraId="75340050">
            <w:pPr>
              <w:jc w:val="center"/>
              <w:rPr>
                <w:sz w:val="18"/>
                <w:szCs w:val="18"/>
              </w:rPr>
            </w:pPr>
            <w:r>
              <w:rPr>
                <w:sz w:val="18"/>
                <w:szCs w:val="18"/>
              </w:rPr>
              <w:t>0.1≤</w:t>
            </w:r>
            <w:r>
              <w:rPr>
                <w:i/>
                <w:sz w:val="18"/>
                <w:szCs w:val="18"/>
              </w:rPr>
              <w:t>d</w:t>
            </w:r>
            <w:r>
              <w:rPr>
                <w:rFonts w:hAnsi="宋体"/>
                <w:sz w:val="18"/>
                <w:szCs w:val="18"/>
              </w:rPr>
              <w:t>＜</w:t>
            </w:r>
            <w:r>
              <w:rPr>
                <w:sz w:val="18"/>
                <w:szCs w:val="18"/>
              </w:rPr>
              <w:t>10</w:t>
            </w:r>
          </w:p>
        </w:tc>
        <w:tc>
          <w:tcPr>
            <w:tcW w:w="778" w:type="pct"/>
            <w:vAlign w:val="center"/>
          </w:tcPr>
          <w:p w14:paraId="75340051">
            <w:pPr>
              <w:jc w:val="center"/>
              <w:rPr>
                <w:sz w:val="18"/>
                <w:szCs w:val="18"/>
              </w:rPr>
            </w:pPr>
            <w:r>
              <w:rPr>
                <w:i/>
                <w:sz w:val="18"/>
                <w:szCs w:val="18"/>
              </w:rPr>
              <w:t>d</w:t>
            </w:r>
            <w:r>
              <w:rPr>
                <w:rFonts w:hAnsi="宋体"/>
                <w:sz w:val="18"/>
                <w:szCs w:val="18"/>
              </w:rPr>
              <w:t>＜</w:t>
            </w:r>
            <w:r>
              <w:rPr>
                <w:sz w:val="18"/>
                <w:szCs w:val="18"/>
              </w:rPr>
              <w:t>0.1</w:t>
            </w:r>
          </w:p>
        </w:tc>
      </w:tr>
    </w:tbl>
    <w:p w14:paraId="75340053">
      <w:pPr>
        <w:topLinePunct/>
        <w:adjustRightInd w:val="0"/>
        <w:spacing w:line="300" w:lineRule="auto"/>
        <w:rPr>
          <w:sz w:val="18"/>
          <w:szCs w:val="18"/>
        </w:rPr>
      </w:pPr>
      <w:r>
        <w:rPr>
          <w:b/>
          <w:szCs w:val="21"/>
        </w:rPr>
        <w:t>3.3.</w:t>
      </w:r>
      <w:r>
        <w:rPr>
          <w:rFonts w:hint="eastAsia"/>
          <w:b/>
          <w:szCs w:val="21"/>
        </w:rPr>
        <w:t>5</w:t>
      </w:r>
      <w:r>
        <w:rPr>
          <w:szCs w:val="21"/>
        </w:rPr>
        <w:t xml:space="preserve">  </w:t>
      </w:r>
      <w:r>
        <w:rPr>
          <w:rFonts w:hAnsi="宋体"/>
          <w:szCs w:val="21"/>
        </w:rPr>
        <w:t>混凝土早期抗裂性能等级划分应符合表</w:t>
      </w:r>
      <w:r>
        <w:rPr>
          <w:szCs w:val="21"/>
        </w:rPr>
        <w:t>3.3.</w:t>
      </w:r>
      <w:r>
        <w:rPr>
          <w:rFonts w:hint="eastAsia"/>
          <w:szCs w:val="21"/>
        </w:rPr>
        <w:t>5</w:t>
      </w:r>
      <w:r>
        <w:rPr>
          <w:rFonts w:hAnsi="宋体"/>
          <w:szCs w:val="21"/>
        </w:rPr>
        <w:t>的规定。</w:t>
      </w:r>
    </w:p>
    <w:p w14:paraId="75340054">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表3.3.</w:t>
      </w:r>
      <w:r>
        <w:rPr>
          <w:rFonts w:hint="eastAsia" w:ascii="黑体" w:hAnsi="宋体" w:eastAsia="黑体"/>
          <w:sz w:val="18"/>
          <w:szCs w:val="18"/>
        </w:rPr>
        <w:t>5</w:t>
      </w:r>
      <w:r>
        <w:rPr>
          <w:rFonts w:ascii="黑体" w:hAnsi="宋体" w:eastAsia="黑体"/>
          <w:sz w:val="18"/>
          <w:szCs w:val="18"/>
        </w:rPr>
        <w:t xml:space="preserve">  混凝土早期抗裂性能的等级划分</w:t>
      </w:r>
    </w:p>
    <w:tbl>
      <w:tblPr>
        <w:tblStyle w:val="16"/>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57" w:type="dxa"/>
          <w:bottom w:w="0" w:type="dxa"/>
          <w:right w:w="57" w:type="dxa"/>
        </w:tblCellMar>
      </w:tblPr>
      <w:tblGrid>
        <w:gridCol w:w="1869"/>
        <w:gridCol w:w="1068"/>
        <w:gridCol w:w="1553"/>
        <w:gridCol w:w="1310"/>
        <w:gridCol w:w="1310"/>
        <w:gridCol w:w="1310"/>
      </w:tblGrid>
      <w:tr w14:paraId="7534005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438" w:hRule="atLeast"/>
          <w:jc w:val="center"/>
        </w:trPr>
        <w:tc>
          <w:tcPr>
            <w:tcW w:w="1110" w:type="pct"/>
            <w:vAlign w:val="center"/>
          </w:tcPr>
          <w:p w14:paraId="75340055">
            <w:pPr>
              <w:jc w:val="center"/>
              <w:rPr>
                <w:sz w:val="18"/>
                <w:szCs w:val="18"/>
              </w:rPr>
            </w:pPr>
            <w:r>
              <w:rPr>
                <w:rFonts w:hAnsi="宋体"/>
                <w:sz w:val="18"/>
                <w:szCs w:val="18"/>
              </w:rPr>
              <w:t>等级</w:t>
            </w:r>
          </w:p>
        </w:tc>
        <w:tc>
          <w:tcPr>
            <w:tcW w:w="634" w:type="pct"/>
            <w:vAlign w:val="center"/>
          </w:tcPr>
          <w:p w14:paraId="75340056">
            <w:pPr>
              <w:jc w:val="center"/>
              <w:rPr>
                <w:sz w:val="18"/>
                <w:szCs w:val="18"/>
              </w:rPr>
            </w:pPr>
            <w:r>
              <w:rPr>
                <w:sz w:val="18"/>
                <w:szCs w:val="18"/>
              </w:rPr>
              <w:t>L-</w:t>
            </w:r>
            <w:r>
              <w:rPr>
                <w:rFonts w:hAnsi="宋体"/>
                <w:sz w:val="18"/>
                <w:szCs w:val="18"/>
              </w:rPr>
              <w:t>Ⅰ</w:t>
            </w:r>
          </w:p>
        </w:tc>
        <w:tc>
          <w:tcPr>
            <w:tcW w:w="922" w:type="pct"/>
            <w:vAlign w:val="center"/>
          </w:tcPr>
          <w:p w14:paraId="75340057">
            <w:pPr>
              <w:jc w:val="center"/>
              <w:rPr>
                <w:sz w:val="18"/>
                <w:szCs w:val="18"/>
              </w:rPr>
            </w:pPr>
            <w:r>
              <w:rPr>
                <w:sz w:val="18"/>
                <w:szCs w:val="18"/>
              </w:rPr>
              <w:t>L-</w:t>
            </w:r>
            <w:r>
              <w:rPr>
                <w:rFonts w:hAnsi="宋体"/>
                <w:sz w:val="18"/>
                <w:szCs w:val="18"/>
              </w:rPr>
              <w:t>Ⅱ</w:t>
            </w:r>
          </w:p>
        </w:tc>
        <w:tc>
          <w:tcPr>
            <w:tcW w:w="778" w:type="pct"/>
            <w:vAlign w:val="center"/>
          </w:tcPr>
          <w:p w14:paraId="75340058">
            <w:pPr>
              <w:jc w:val="center"/>
              <w:rPr>
                <w:sz w:val="18"/>
                <w:szCs w:val="18"/>
              </w:rPr>
            </w:pPr>
            <w:r>
              <w:rPr>
                <w:sz w:val="18"/>
                <w:szCs w:val="18"/>
              </w:rPr>
              <w:t>L-</w:t>
            </w:r>
            <w:r>
              <w:rPr>
                <w:rFonts w:hAnsi="宋体"/>
                <w:sz w:val="18"/>
                <w:szCs w:val="18"/>
              </w:rPr>
              <w:t>Ⅲ</w:t>
            </w:r>
          </w:p>
        </w:tc>
        <w:tc>
          <w:tcPr>
            <w:tcW w:w="778" w:type="pct"/>
            <w:vAlign w:val="center"/>
          </w:tcPr>
          <w:p w14:paraId="75340059">
            <w:pPr>
              <w:jc w:val="center"/>
              <w:rPr>
                <w:sz w:val="18"/>
                <w:szCs w:val="18"/>
              </w:rPr>
            </w:pPr>
            <w:r>
              <w:rPr>
                <w:sz w:val="18"/>
                <w:szCs w:val="18"/>
              </w:rPr>
              <w:t>L-</w:t>
            </w:r>
            <w:r>
              <w:rPr>
                <w:rFonts w:hAnsi="宋体"/>
                <w:sz w:val="18"/>
                <w:szCs w:val="18"/>
              </w:rPr>
              <w:t>Ⅳ</w:t>
            </w:r>
          </w:p>
        </w:tc>
        <w:tc>
          <w:tcPr>
            <w:tcW w:w="778" w:type="pct"/>
            <w:vAlign w:val="center"/>
          </w:tcPr>
          <w:p w14:paraId="7534005A">
            <w:pPr>
              <w:jc w:val="center"/>
              <w:rPr>
                <w:sz w:val="18"/>
                <w:szCs w:val="18"/>
              </w:rPr>
            </w:pPr>
            <w:r>
              <w:rPr>
                <w:sz w:val="18"/>
                <w:szCs w:val="18"/>
              </w:rPr>
              <w:t>L-</w:t>
            </w:r>
            <w:r>
              <w:rPr>
                <w:rFonts w:hAnsi="宋体"/>
                <w:sz w:val="18"/>
                <w:szCs w:val="18"/>
              </w:rPr>
              <w:t>Ⅴ</w:t>
            </w:r>
          </w:p>
        </w:tc>
      </w:tr>
      <w:tr w14:paraId="7534006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57" w:type="dxa"/>
            <w:bottom w:w="0" w:type="dxa"/>
            <w:right w:w="57" w:type="dxa"/>
          </w:tblCellMar>
        </w:tblPrEx>
        <w:trPr>
          <w:cantSplit/>
          <w:trHeight w:val="438" w:hRule="atLeast"/>
          <w:jc w:val="center"/>
        </w:trPr>
        <w:tc>
          <w:tcPr>
            <w:tcW w:w="1110" w:type="pct"/>
            <w:vAlign w:val="center"/>
          </w:tcPr>
          <w:p w14:paraId="7534005C">
            <w:pPr>
              <w:jc w:val="center"/>
              <w:rPr>
                <w:sz w:val="18"/>
                <w:szCs w:val="18"/>
              </w:rPr>
            </w:pPr>
            <w:r>
              <w:rPr>
                <w:rFonts w:hAnsi="宋体"/>
                <w:sz w:val="18"/>
                <w:szCs w:val="18"/>
              </w:rPr>
              <w:t>单位面积上的总开裂面积</w:t>
            </w:r>
            <w:r>
              <w:rPr>
                <w:i/>
                <w:sz w:val="18"/>
                <w:szCs w:val="18"/>
              </w:rPr>
              <w:t>C</w:t>
            </w:r>
            <w:r>
              <w:rPr>
                <w:rFonts w:hAnsi="宋体"/>
                <w:sz w:val="18"/>
                <w:szCs w:val="18"/>
              </w:rPr>
              <w:t>（</w:t>
            </w:r>
            <w:r>
              <w:rPr>
                <w:sz w:val="18"/>
                <w:szCs w:val="18"/>
              </w:rPr>
              <w:t>mm</w:t>
            </w:r>
            <w:r>
              <w:rPr>
                <w:sz w:val="18"/>
                <w:szCs w:val="18"/>
                <w:vertAlign w:val="superscript"/>
              </w:rPr>
              <w:t>2</w:t>
            </w:r>
            <w:r>
              <w:rPr>
                <w:sz w:val="18"/>
                <w:szCs w:val="18"/>
              </w:rPr>
              <w:t>/m</w:t>
            </w:r>
            <w:r>
              <w:rPr>
                <w:sz w:val="18"/>
                <w:szCs w:val="18"/>
                <w:vertAlign w:val="superscript"/>
              </w:rPr>
              <w:t>2</w:t>
            </w:r>
            <w:r>
              <w:rPr>
                <w:rFonts w:hAnsi="宋体"/>
                <w:sz w:val="18"/>
                <w:szCs w:val="18"/>
              </w:rPr>
              <w:t>）</w:t>
            </w:r>
          </w:p>
        </w:tc>
        <w:tc>
          <w:tcPr>
            <w:tcW w:w="634" w:type="pct"/>
            <w:vAlign w:val="center"/>
          </w:tcPr>
          <w:p w14:paraId="7534005D">
            <w:pPr>
              <w:jc w:val="center"/>
              <w:rPr>
                <w:sz w:val="18"/>
                <w:szCs w:val="18"/>
              </w:rPr>
            </w:pPr>
            <w:r>
              <w:rPr>
                <w:i/>
                <w:sz w:val="18"/>
                <w:szCs w:val="18"/>
              </w:rPr>
              <w:t>C</w:t>
            </w:r>
            <w:r>
              <w:rPr>
                <w:sz w:val="18"/>
                <w:szCs w:val="18"/>
              </w:rPr>
              <w:t>≥1000</w:t>
            </w:r>
          </w:p>
        </w:tc>
        <w:tc>
          <w:tcPr>
            <w:tcW w:w="922" w:type="pct"/>
            <w:vAlign w:val="center"/>
          </w:tcPr>
          <w:p w14:paraId="7534005E">
            <w:pPr>
              <w:jc w:val="center"/>
              <w:rPr>
                <w:sz w:val="18"/>
                <w:szCs w:val="18"/>
              </w:rPr>
            </w:pPr>
            <w:r>
              <w:rPr>
                <w:sz w:val="18"/>
                <w:szCs w:val="18"/>
              </w:rPr>
              <w:t>700≤</w:t>
            </w:r>
            <w:r>
              <w:rPr>
                <w:i/>
                <w:sz w:val="18"/>
                <w:szCs w:val="18"/>
              </w:rPr>
              <w:t>C</w:t>
            </w:r>
            <w:r>
              <w:rPr>
                <w:rFonts w:hAnsi="宋体"/>
                <w:sz w:val="18"/>
                <w:szCs w:val="18"/>
              </w:rPr>
              <w:t>＜</w:t>
            </w:r>
            <w:r>
              <w:rPr>
                <w:sz w:val="18"/>
                <w:szCs w:val="18"/>
              </w:rPr>
              <w:t>1000</w:t>
            </w:r>
          </w:p>
        </w:tc>
        <w:tc>
          <w:tcPr>
            <w:tcW w:w="778" w:type="pct"/>
            <w:vAlign w:val="center"/>
          </w:tcPr>
          <w:p w14:paraId="7534005F">
            <w:pPr>
              <w:jc w:val="center"/>
              <w:rPr>
                <w:sz w:val="18"/>
                <w:szCs w:val="18"/>
              </w:rPr>
            </w:pPr>
            <w:r>
              <w:rPr>
                <w:sz w:val="18"/>
                <w:szCs w:val="18"/>
              </w:rPr>
              <w:t>400≤</w:t>
            </w:r>
            <w:r>
              <w:rPr>
                <w:i/>
                <w:sz w:val="18"/>
                <w:szCs w:val="18"/>
              </w:rPr>
              <w:t>C</w:t>
            </w:r>
            <w:r>
              <w:rPr>
                <w:rFonts w:hAnsi="宋体"/>
                <w:sz w:val="18"/>
                <w:szCs w:val="18"/>
              </w:rPr>
              <w:t>＜</w:t>
            </w:r>
            <w:r>
              <w:rPr>
                <w:sz w:val="18"/>
                <w:szCs w:val="18"/>
              </w:rPr>
              <w:t>700</w:t>
            </w:r>
          </w:p>
        </w:tc>
        <w:tc>
          <w:tcPr>
            <w:tcW w:w="778" w:type="pct"/>
            <w:vAlign w:val="center"/>
          </w:tcPr>
          <w:p w14:paraId="75340060">
            <w:pPr>
              <w:jc w:val="center"/>
              <w:rPr>
                <w:sz w:val="18"/>
                <w:szCs w:val="18"/>
              </w:rPr>
            </w:pPr>
            <w:r>
              <w:rPr>
                <w:sz w:val="18"/>
                <w:szCs w:val="18"/>
              </w:rPr>
              <w:t>100≤</w:t>
            </w:r>
            <w:r>
              <w:rPr>
                <w:i/>
                <w:sz w:val="18"/>
                <w:szCs w:val="18"/>
              </w:rPr>
              <w:t>C</w:t>
            </w:r>
            <w:r>
              <w:rPr>
                <w:rFonts w:hAnsi="宋体"/>
                <w:sz w:val="18"/>
                <w:szCs w:val="18"/>
              </w:rPr>
              <w:t>＜</w:t>
            </w:r>
            <w:r>
              <w:rPr>
                <w:sz w:val="18"/>
                <w:szCs w:val="18"/>
              </w:rPr>
              <w:t>400</w:t>
            </w:r>
          </w:p>
        </w:tc>
        <w:tc>
          <w:tcPr>
            <w:tcW w:w="778" w:type="pct"/>
            <w:vAlign w:val="center"/>
          </w:tcPr>
          <w:p w14:paraId="75340061">
            <w:pPr>
              <w:jc w:val="center"/>
              <w:rPr>
                <w:sz w:val="18"/>
                <w:szCs w:val="18"/>
              </w:rPr>
            </w:pPr>
            <w:r>
              <w:rPr>
                <w:i/>
                <w:sz w:val="18"/>
                <w:szCs w:val="18"/>
              </w:rPr>
              <w:t>C</w:t>
            </w:r>
            <w:r>
              <w:rPr>
                <w:rFonts w:hAnsi="宋体"/>
                <w:sz w:val="18"/>
                <w:szCs w:val="18"/>
              </w:rPr>
              <w:t>＜</w:t>
            </w:r>
            <w:r>
              <w:rPr>
                <w:sz w:val="18"/>
                <w:szCs w:val="18"/>
              </w:rPr>
              <w:t>100</w:t>
            </w:r>
          </w:p>
        </w:tc>
      </w:tr>
    </w:tbl>
    <w:p w14:paraId="75340063">
      <w:pPr>
        <w:topLinePunct/>
        <w:adjustRightInd w:val="0"/>
        <w:spacing w:line="300" w:lineRule="auto"/>
        <w:rPr>
          <w:szCs w:val="21"/>
        </w:rPr>
        <w:sectPr>
          <w:footerReference r:id="rId9" w:type="default"/>
          <w:pgSz w:w="11906" w:h="16838"/>
          <w:pgMar w:top="1440" w:right="1800" w:bottom="1440" w:left="1800" w:header="851" w:footer="992" w:gutter="0"/>
          <w:pgNumType w:fmt="decimal"/>
          <w:cols w:space="425" w:num="1"/>
          <w:docGrid w:type="lines" w:linePitch="312" w:charSpace="0"/>
        </w:sectPr>
      </w:pPr>
      <w:r>
        <w:rPr>
          <w:b/>
          <w:szCs w:val="21"/>
        </w:rPr>
        <w:t>3.3.</w:t>
      </w:r>
      <w:r>
        <w:rPr>
          <w:rFonts w:hint="eastAsia"/>
          <w:b/>
          <w:szCs w:val="21"/>
        </w:rPr>
        <w:t>6</w:t>
      </w:r>
      <w:r>
        <w:rPr>
          <w:b/>
          <w:szCs w:val="21"/>
        </w:rPr>
        <w:t xml:space="preserve"> </w:t>
      </w:r>
      <w:r>
        <w:rPr>
          <w:szCs w:val="21"/>
        </w:rPr>
        <w:t xml:space="preserve"> </w:t>
      </w:r>
      <w:r>
        <w:rPr>
          <w:rFonts w:hAnsi="宋体"/>
          <w:szCs w:val="21"/>
        </w:rPr>
        <w:t>混凝土耐久性能应按现行行业标准《混凝土耐久性检验评定标准》</w:t>
      </w:r>
      <w:r>
        <w:rPr>
          <w:szCs w:val="21"/>
        </w:rPr>
        <w:t>JGJ/T 193</w:t>
      </w:r>
      <w:r>
        <w:rPr>
          <w:rFonts w:hAnsi="宋体"/>
          <w:szCs w:val="21"/>
        </w:rPr>
        <w:t>的</w:t>
      </w:r>
      <w:r>
        <w:rPr>
          <w:rFonts w:hint="eastAsia" w:hAnsi="宋体"/>
          <w:szCs w:val="21"/>
        </w:rPr>
        <w:t>有关</w:t>
      </w:r>
      <w:r>
        <w:rPr>
          <w:rFonts w:hAnsi="宋体"/>
          <w:szCs w:val="21"/>
        </w:rPr>
        <w:t>规定进行检验评定，并应合格。</w:t>
      </w:r>
    </w:p>
    <w:p w14:paraId="75340064">
      <w:pPr>
        <w:pStyle w:val="38"/>
        <w:spacing w:before="312" w:after="312"/>
        <w:rPr>
          <w:b w:val="0"/>
        </w:rPr>
      </w:pPr>
      <w:bookmarkStart w:id="85" w:name="_Toc268678430"/>
      <w:bookmarkStart w:id="86" w:name="_Toc268120036"/>
      <w:bookmarkStart w:id="87" w:name="_Toc268120162"/>
      <w:bookmarkStart w:id="88" w:name="_Toc269885295"/>
      <w:bookmarkStart w:id="89" w:name="_Toc275249813"/>
      <w:bookmarkStart w:id="90" w:name="_Toc201943560"/>
      <w:r>
        <w:rPr>
          <w:b w:val="0"/>
        </w:rPr>
        <w:t xml:space="preserve">4  </w:t>
      </w:r>
      <w:r>
        <w:rPr>
          <w:rFonts w:hAnsi="宋体"/>
          <w:b w:val="0"/>
        </w:rPr>
        <w:t>配合比控制</w:t>
      </w:r>
      <w:bookmarkEnd w:id="85"/>
      <w:bookmarkEnd w:id="86"/>
      <w:bookmarkEnd w:id="87"/>
      <w:bookmarkEnd w:id="88"/>
      <w:bookmarkEnd w:id="89"/>
      <w:bookmarkEnd w:id="90"/>
    </w:p>
    <w:p w14:paraId="75340065">
      <w:pPr>
        <w:spacing w:line="300" w:lineRule="auto"/>
        <w:rPr>
          <w:szCs w:val="21"/>
        </w:rPr>
      </w:pPr>
      <w:r>
        <w:rPr>
          <w:b/>
          <w:szCs w:val="21"/>
        </w:rPr>
        <w:t>4.0.1</w:t>
      </w:r>
      <w:r>
        <w:rPr>
          <w:szCs w:val="21"/>
        </w:rPr>
        <w:t xml:space="preserve">  </w:t>
      </w:r>
      <w:r>
        <w:rPr>
          <w:rFonts w:hAnsi="宋体"/>
          <w:szCs w:val="21"/>
        </w:rPr>
        <w:t>混凝土配合比设计应符合现行行业标准《普通混凝土配合比设计规程》</w:t>
      </w:r>
      <w:r>
        <w:rPr>
          <w:szCs w:val="21"/>
        </w:rPr>
        <w:t>JGJ</w:t>
      </w:r>
      <w:r>
        <w:rPr>
          <w:rFonts w:hint="eastAsia"/>
          <w:szCs w:val="21"/>
        </w:rPr>
        <w:t xml:space="preserve"> </w:t>
      </w:r>
      <w:r>
        <w:rPr>
          <w:szCs w:val="21"/>
        </w:rPr>
        <w:t>55</w:t>
      </w:r>
      <w:r>
        <w:rPr>
          <w:rFonts w:hAnsi="宋体"/>
          <w:szCs w:val="21"/>
        </w:rPr>
        <w:t>的</w:t>
      </w:r>
      <w:r>
        <w:rPr>
          <w:rFonts w:hint="eastAsia" w:hAnsi="宋体"/>
          <w:szCs w:val="21"/>
        </w:rPr>
        <w:t>有关</w:t>
      </w:r>
      <w:r>
        <w:rPr>
          <w:rFonts w:hAnsi="宋体"/>
          <w:szCs w:val="21"/>
        </w:rPr>
        <w:t>规定。</w:t>
      </w:r>
      <w:r>
        <w:rPr>
          <w:rFonts w:hint="eastAsia"/>
          <w:szCs w:val="21"/>
        </w:rPr>
        <w:t>高强混凝土配合比设计还应符合现行行业标准《高强混凝土应用技术规程》</w:t>
      </w:r>
      <w:r>
        <w:rPr>
          <w:szCs w:val="21"/>
        </w:rPr>
        <w:t>JGJ/T 281</w:t>
      </w:r>
      <w:r>
        <w:rPr>
          <w:rFonts w:hint="eastAsia"/>
          <w:szCs w:val="21"/>
        </w:rPr>
        <w:t>的规定；自密实混凝土配合比设计还应符合现行行业标准《自密实混凝土应用技术规程》</w:t>
      </w:r>
      <w:r>
        <w:rPr>
          <w:szCs w:val="21"/>
        </w:rPr>
        <w:t>JGJ/T 283</w:t>
      </w:r>
      <w:r>
        <w:rPr>
          <w:rFonts w:hint="eastAsia"/>
          <w:szCs w:val="21"/>
        </w:rPr>
        <w:t>的规定。轻骨料混凝土配合比设计还应符合现行行业标准《轻骨料混凝土技术规程》</w:t>
      </w:r>
      <w:r>
        <w:rPr>
          <w:szCs w:val="21"/>
        </w:rPr>
        <w:t>JGJ/T 12</w:t>
      </w:r>
      <w:r>
        <w:rPr>
          <w:rFonts w:hint="eastAsia"/>
          <w:szCs w:val="21"/>
        </w:rPr>
        <w:t>的规定；重混凝土配合比设计应符合现行国家标准《防辐射混凝土》</w:t>
      </w:r>
      <w:r>
        <w:rPr>
          <w:szCs w:val="21"/>
        </w:rPr>
        <w:t>GB/T 34008</w:t>
      </w:r>
      <w:r>
        <w:rPr>
          <w:rFonts w:hint="eastAsia"/>
          <w:szCs w:val="21"/>
        </w:rPr>
        <w:t>的规定。</w:t>
      </w:r>
    </w:p>
    <w:p w14:paraId="75340066">
      <w:pPr>
        <w:spacing w:line="300" w:lineRule="auto"/>
        <w:rPr>
          <w:szCs w:val="21"/>
        </w:rPr>
      </w:pPr>
      <w:r>
        <w:rPr>
          <w:b/>
          <w:szCs w:val="21"/>
        </w:rPr>
        <w:t xml:space="preserve">4.0.2 </w:t>
      </w:r>
      <w:r>
        <w:rPr>
          <w:szCs w:val="21"/>
        </w:rPr>
        <w:t xml:space="preserve"> </w:t>
      </w:r>
      <w:r>
        <w:rPr>
          <w:rFonts w:hAnsi="宋体"/>
          <w:szCs w:val="21"/>
        </w:rPr>
        <w:t>混凝土配合比应满足混凝土施工性能要求，强度</w:t>
      </w:r>
      <w:r>
        <w:rPr>
          <w:rFonts w:hint="eastAsia" w:hAnsi="宋体"/>
          <w:szCs w:val="21"/>
        </w:rPr>
        <w:t>以及</w:t>
      </w:r>
      <w:r>
        <w:rPr>
          <w:rFonts w:hAnsi="宋体"/>
          <w:szCs w:val="21"/>
        </w:rPr>
        <w:t>其他力学性能和耐久性能</w:t>
      </w:r>
      <w:r>
        <w:rPr>
          <w:rFonts w:hint="eastAsia" w:hAnsi="宋体"/>
          <w:szCs w:val="21"/>
        </w:rPr>
        <w:t>应符合</w:t>
      </w:r>
      <w:r>
        <w:rPr>
          <w:rFonts w:hAnsi="宋体"/>
          <w:szCs w:val="21"/>
        </w:rPr>
        <w:t>设计要求。</w:t>
      </w:r>
    </w:p>
    <w:p w14:paraId="75340067">
      <w:pPr>
        <w:spacing w:line="300" w:lineRule="auto"/>
      </w:pPr>
      <w:r>
        <w:rPr>
          <w:b/>
          <w:szCs w:val="21"/>
        </w:rPr>
        <w:t xml:space="preserve">4.0.3 </w:t>
      </w:r>
      <w:r>
        <w:rPr>
          <w:szCs w:val="21"/>
        </w:rPr>
        <w:t xml:space="preserve"> </w:t>
      </w:r>
      <w:r>
        <w:rPr>
          <w:rFonts w:hAnsi="宋体"/>
        </w:rPr>
        <w:t>对首次使用</w:t>
      </w:r>
      <w:r>
        <w:rPr>
          <w:rFonts w:hint="eastAsia" w:hAnsi="宋体"/>
        </w:rPr>
        <w:t>的</w:t>
      </w:r>
      <w:r>
        <w:rPr>
          <w:rFonts w:hAnsi="宋体"/>
        </w:rPr>
        <w:t>配合比应进行开盘鉴定，开盘鉴定应</w:t>
      </w:r>
      <w:r>
        <w:rPr>
          <w:rFonts w:hint="eastAsia" w:hAnsi="宋体"/>
        </w:rPr>
        <w:t>符合</w:t>
      </w:r>
      <w:r>
        <w:rPr>
          <w:rFonts w:hAnsi="宋体"/>
        </w:rPr>
        <w:t>下列</w:t>
      </w:r>
      <w:r>
        <w:rPr>
          <w:rFonts w:hint="eastAsia" w:hAnsi="宋体"/>
        </w:rPr>
        <w:t>规定</w:t>
      </w:r>
      <w:r>
        <w:rPr>
          <w:rFonts w:hAnsi="宋体"/>
        </w:rPr>
        <w:t>：</w:t>
      </w:r>
    </w:p>
    <w:p w14:paraId="75340068">
      <w:pPr>
        <w:spacing w:line="300" w:lineRule="auto"/>
        <w:ind w:firstLine="420" w:firstLineChars="200"/>
        <w:rPr>
          <w:rFonts w:hint="eastAsia" w:hAnsi="宋体"/>
        </w:rPr>
      </w:pPr>
      <w:r>
        <w:t>1</w:t>
      </w:r>
      <w:r>
        <w:rPr>
          <w:rFonts w:hint="eastAsia"/>
          <w:szCs w:val="21"/>
        </w:rPr>
        <w:t xml:space="preserve"> </w:t>
      </w:r>
      <w:r>
        <w:rPr>
          <w:rFonts w:hAnsi="宋体"/>
        </w:rPr>
        <w:t>生产使用的原材料应与配合比设计一致</w:t>
      </w:r>
      <w:r>
        <w:rPr>
          <w:rFonts w:hint="eastAsia" w:hAnsi="宋体"/>
        </w:rPr>
        <w:t>。</w:t>
      </w:r>
    </w:p>
    <w:p w14:paraId="75340069">
      <w:pPr>
        <w:spacing w:line="300" w:lineRule="auto"/>
        <w:ind w:firstLine="420" w:firstLineChars="200"/>
        <w:rPr>
          <w:rFonts w:hint="eastAsia" w:hAnsi="宋体"/>
        </w:rPr>
      </w:pPr>
      <w:r>
        <w:rPr>
          <w:rFonts w:hint="eastAsia" w:hAnsi="宋体"/>
        </w:rPr>
        <w:t>2 开盘鉴定生产条件与实际生产条件一致。</w:t>
      </w:r>
    </w:p>
    <w:p w14:paraId="7534006A">
      <w:pPr>
        <w:spacing w:line="300" w:lineRule="auto"/>
        <w:ind w:firstLine="420" w:firstLineChars="200"/>
      </w:pPr>
      <w:r>
        <w:rPr>
          <w:rFonts w:hint="eastAsia"/>
        </w:rPr>
        <w:t>3</w:t>
      </w:r>
      <w:r>
        <w:rPr>
          <w:rFonts w:hint="eastAsia"/>
          <w:szCs w:val="21"/>
        </w:rPr>
        <w:t xml:space="preserve"> </w:t>
      </w:r>
      <w:r>
        <w:rPr>
          <w:rFonts w:hAnsi="宋体"/>
        </w:rPr>
        <w:t>混凝土拌合物性能应满足施工要求</w:t>
      </w:r>
      <w:r>
        <w:rPr>
          <w:rFonts w:hint="eastAsia" w:hAnsi="宋体"/>
        </w:rPr>
        <w:t>。</w:t>
      </w:r>
    </w:p>
    <w:p w14:paraId="7534006B">
      <w:pPr>
        <w:spacing w:line="300" w:lineRule="auto"/>
        <w:ind w:firstLine="420" w:firstLineChars="200"/>
      </w:pPr>
      <w:r>
        <w:rPr>
          <w:rFonts w:hint="eastAsia"/>
        </w:rPr>
        <w:t>4</w:t>
      </w:r>
      <w:r>
        <w:rPr>
          <w:rFonts w:hint="eastAsia"/>
          <w:szCs w:val="21"/>
        </w:rPr>
        <w:t xml:space="preserve"> </w:t>
      </w:r>
      <w:r>
        <w:rPr>
          <w:rFonts w:hAnsi="宋体"/>
        </w:rPr>
        <w:t>混凝土强度评定</w:t>
      </w:r>
      <w:r>
        <w:rPr>
          <w:rFonts w:hint="eastAsia" w:hAnsi="宋体"/>
        </w:rPr>
        <w:t>应符合设计</w:t>
      </w:r>
      <w:r>
        <w:rPr>
          <w:rFonts w:hAnsi="宋体"/>
        </w:rPr>
        <w:t>要求</w:t>
      </w:r>
      <w:r>
        <w:rPr>
          <w:rFonts w:hint="eastAsia" w:hAnsi="宋体"/>
        </w:rPr>
        <w:t>。</w:t>
      </w:r>
    </w:p>
    <w:p w14:paraId="7534006C">
      <w:pPr>
        <w:spacing w:line="300" w:lineRule="auto"/>
        <w:ind w:firstLine="420" w:firstLineChars="200"/>
      </w:pPr>
      <w:r>
        <w:rPr>
          <w:rFonts w:hint="eastAsia"/>
        </w:rPr>
        <w:t>5</w:t>
      </w:r>
      <w:r>
        <w:rPr>
          <w:rFonts w:hint="eastAsia"/>
          <w:szCs w:val="21"/>
        </w:rPr>
        <w:t xml:space="preserve"> </w:t>
      </w:r>
      <w:r>
        <w:rPr>
          <w:rFonts w:hAnsi="宋体"/>
        </w:rPr>
        <w:t>混凝土耐久性能</w:t>
      </w:r>
      <w:r>
        <w:rPr>
          <w:rFonts w:hint="eastAsia" w:hAnsi="宋体"/>
        </w:rPr>
        <w:t>应符合</w:t>
      </w:r>
      <w:r>
        <w:rPr>
          <w:rFonts w:hAnsi="宋体"/>
        </w:rPr>
        <w:t>设计要求。</w:t>
      </w:r>
    </w:p>
    <w:p w14:paraId="7534006D">
      <w:pPr>
        <w:spacing w:before="156" w:beforeLines="50" w:line="300" w:lineRule="auto"/>
        <w:rPr>
          <w:color w:val="000000"/>
        </w:rPr>
      </w:pPr>
      <w:r>
        <w:rPr>
          <w:rFonts w:hint="eastAsia"/>
          <w:b/>
          <w:bCs/>
          <w:color w:val="000000"/>
        </w:rPr>
        <w:t>4.0.4</w:t>
      </w:r>
      <w:r>
        <w:rPr>
          <w:b/>
          <w:szCs w:val="21"/>
        </w:rPr>
        <w:t xml:space="preserve"> </w:t>
      </w:r>
      <w:r>
        <w:rPr>
          <w:szCs w:val="21"/>
        </w:rPr>
        <w:t xml:space="preserve"> </w:t>
      </w:r>
      <w:r>
        <w:rPr>
          <w:rFonts w:hint="eastAsia"/>
          <w:color w:val="000000"/>
        </w:rPr>
        <w:t>同一配合比的混凝土生产间断三个月以上且原材料无显著变化时，应进行拌合物性能及强度验证。</w:t>
      </w:r>
    </w:p>
    <w:p w14:paraId="7534006E">
      <w:pPr>
        <w:spacing w:line="300" w:lineRule="auto"/>
        <w:rPr>
          <w:color w:val="000000"/>
        </w:rPr>
      </w:pPr>
      <w:r>
        <w:rPr>
          <w:rFonts w:hint="eastAsia"/>
          <w:b/>
          <w:bCs/>
          <w:color w:val="000000"/>
        </w:rPr>
        <w:t xml:space="preserve">4.0.5 </w:t>
      </w:r>
      <w:r>
        <w:rPr>
          <w:rFonts w:hint="eastAsia"/>
          <w:color w:val="000000"/>
        </w:rPr>
        <w:t xml:space="preserve"> 当遇到下列情况之一时，应重新进行配合比设计：</w:t>
      </w:r>
    </w:p>
    <w:p w14:paraId="7534006F">
      <w:pPr>
        <w:spacing w:line="300" w:lineRule="auto"/>
        <w:ind w:firstLine="420" w:firstLineChars="200"/>
        <w:rPr>
          <w:rFonts w:hint="eastAsia" w:hAnsi="宋体"/>
        </w:rPr>
      </w:pPr>
      <w:r>
        <w:rPr>
          <w:rFonts w:hint="eastAsia" w:hAnsi="宋体"/>
        </w:rPr>
        <w:t>1 对混凝土性能指标有变化或有其他特殊要求时；</w:t>
      </w:r>
    </w:p>
    <w:p w14:paraId="75340070">
      <w:pPr>
        <w:spacing w:line="300" w:lineRule="auto"/>
        <w:ind w:firstLine="420" w:firstLineChars="200"/>
        <w:rPr>
          <w:rFonts w:hint="eastAsia" w:hAnsi="宋体"/>
        </w:rPr>
      </w:pPr>
      <w:r>
        <w:rPr>
          <w:rFonts w:hint="eastAsia" w:hAnsi="宋体"/>
        </w:rPr>
        <w:t>2 水泥、外加剂或矿物掺合料等原材料品种、质量有显著变化时。</w:t>
      </w:r>
    </w:p>
    <w:p w14:paraId="75340071">
      <w:pPr>
        <w:spacing w:line="300" w:lineRule="auto"/>
        <w:rPr>
          <w:rFonts w:hint="eastAsia" w:hAnsi="宋体"/>
          <w:szCs w:val="21"/>
        </w:rPr>
      </w:pPr>
      <w:r>
        <w:rPr>
          <w:b/>
          <w:szCs w:val="21"/>
        </w:rPr>
        <w:t>4.0.</w:t>
      </w:r>
      <w:r>
        <w:rPr>
          <w:rFonts w:hint="eastAsia"/>
          <w:b/>
          <w:szCs w:val="21"/>
        </w:rPr>
        <w:t>6</w:t>
      </w:r>
      <w:r>
        <w:rPr>
          <w:b/>
          <w:szCs w:val="21"/>
        </w:rPr>
        <w:t xml:space="preserve"> </w:t>
      </w:r>
      <w:r>
        <w:rPr>
          <w:szCs w:val="21"/>
        </w:rPr>
        <w:t xml:space="preserve"> </w:t>
      </w:r>
      <w:r>
        <w:rPr>
          <w:rFonts w:hAnsi="宋体"/>
          <w:szCs w:val="21"/>
        </w:rPr>
        <w:t>在混凝土配合比使用过程中，应根据混凝土质量的动态信息及时调整。</w:t>
      </w:r>
    </w:p>
    <w:p w14:paraId="75340072">
      <w:pPr>
        <w:spacing w:before="156" w:beforeLines="50"/>
        <w:sectPr>
          <w:pgSz w:w="11906" w:h="16838"/>
          <w:pgMar w:top="1440" w:right="1800" w:bottom="1440" w:left="1800" w:header="851" w:footer="992" w:gutter="0"/>
          <w:pgNumType w:fmt="decimal"/>
          <w:cols w:space="425" w:num="1"/>
          <w:docGrid w:type="lines" w:linePitch="312" w:charSpace="0"/>
        </w:sectPr>
      </w:pPr>
    </w:p>
    <w:p w14:paraId="75340073">
      <w:pPr>
        <w:pStyle w:val="38"/>
        <w:spacing w:before="312" w:after="312"/>
        <w:rPr>
          <w:b w:val="0"/>
        </w:rPr>
      </w:pPr>
      <w:bookmarkStart w:id="91" w:name="_Toc268120167"/>
      <w:bookmarkStart w:id="92" w:name="_Toc275249814"/>
      <w:bookmarkStart w:id="93" w:name="_Toc268678431"/>
      <w:bookmarkStart w:id="94" w:name="_Toc268120041"/>
      <w:bookmarkStart w:id="95" w:name="_Toc201943561"/>
      <w:bookmarkStart w:id="96" w:name="_Toc269885296"/>
      <w:r>
        <w:rPr>
          <w:b w:val="0"/>
        </w:rPr>
        <w:t xml:space="preserve">5  </w:t>
      </w:r>
      <w:r>
        <w:rPr>
          <w:rFonts w:hAnsi="宋体"/>
          <w:b w:val="0"/>
        </w:rPr>
        <w:t>生产控制水平</w:t>
      </w:r>
      <w:bookmarkEnd w:id="91"/>
      <w:bookmarkEnd w:id="92"/>
      <w:bookmarkEnd w:id="93"/>
      <w:bookmarkEnd w:id="94"/>
      <w:bookmarkEnd w:id="95"/>
      <w:bookmarkEnd w:id="96"/>
    </w:p>
    <w:p w14:paraId="75340074">
      <w:pPr>
        <w:spacing w:line="300" w:lineRule="auto"/>
        <w:rPr>
          <w:rFonts w:hint="eastAsia" w:hAnsi="宋体"/>
          <w:szCs w:val="21"/>
        </w:rPr>
      </w:pPr>
      <w:r>
        <w:rPr>
          <w:b/>
          <w:szCs w:val="21"/>
        </w:rPr>
        <w:t xml:space="preserve">5.0.1 </w:t>
      </w:r>
      <w:r>
        <w:rPr>
          <w:szCs w:val="21"/>
        </w:rPr>
        <w:t xml:space="preserve"> </w:t>
      </w:r>
      <w:r>
        <w:rPr>
          <w:rFonts w:hAnsi="宋体"/>
          <w:szCs w:val="21"/>
        </w:rPr>
        <w:t>混凝土</w:t>
      </w:r>
      <w:r>
        <w:rPr>
          <w:rFonts w:hint="eastAsia" w:hAnsi="宋体"/>
          <w:szCs w:val="21"/>
        </w:rPr>
        <w:t>工程</w:t>
      </w:r>
      <w:r>
        <w:rPr>
          <w:rFonts w:hAnsi="宋体"/>
          <w:szCs w:val="21"/>
        </w:rPr>
        <w:t>宜采用预拌混凝土。</w:t>
      </w:r>
    </w:p>
    <w:p w14:paraId="75340075">
      <w:pPr>
        <w:spacing w:line="300" w:lineRule="auto"/>
        <w:rPr>
          <w:szCs w:val="21"/>
        </w:rPr>
      </w:pPr>
      <w:r>
        <w:rPr>
          <w:rFonts w:hint="eastAsia"/>
          <w:b/>
          <w:szCs w:val="21"/>
        </w:rPr>
        <w:t>5.0.2</w:t>
      </w:r>
      <w:r>
        <w:rPr>
          <w:rFonts w:hint="eastAsia"/>
          <w:szCs w:val="21"/>
        </w:rPr>
        <w:t xml:space="preserve">  混凝土生产控制水平可按强度标准差（</w:t>
      </w:r>
      <w:r>
        <w:rPr>
          <w:i/>
          <w:szCs w:val="21"/>
        </w:rPr>
        <w:t>σ</w:t>
      </w:r>
      <w:r>
        <w:rPr>
          <w:rFonts w:hint="eastAsia"/>
          <w:szCs w:val="21"/>
        </w:rPr>
        <w:t>）和</w:t>
      </w:r>
      <w:r>
        <w:rPr>
          <w:rFonts w:hAnsi="宋体"/>
          <w:szCs w:val="21"/>
        </w:rPr>
        <w:t>实测强度</w:t>
      </w:r>
      <w:r>
        <w:rPr>
          <w:rFonts w:hint="eastAsia" w:hAnsi="宋体"/>
          <w:szCs w:val="21"/>
        </w:rPr>
        <w:t>达到强度标准值组数的百分</w:t>
      </w:r>
      <w:r>
        <w:rPr>
          <w:rFonts w:hAnsi="宋体"/>
          <w:szCs w:val="21"/>
        </w:rPr>
        <w:t>率</w:t>
      </w:r>
      <w:r>
        <w:rPr>
          <w:rFonts w:hint="eastAsia" w:hAnsi="宋体"/>
          <w:szCs w:val="21"/>
        </w:rPr>
        <w:t>（</w:t>
      </w:r>
      <w:r>
        <w:rPr>
          <w:i/>
          <w:szCs w:val="21"/>
        </w:rPr>
        <w:t>P</w:t>
      </w:r>
      <w:r>
        <w:rPr>
          <w:rFonts w:hint="eastAsia"/>
          <w:szCs w:val="21"/>
        </w:rPr>
        <w:t>）表征。</w:t>
      </w:r>
    </w:p>
    <w:p w14:paraId="75340076">
      <w:pPr>
        <w:spacing w:line="300" w:lineRule="auto"/>
        <w:rPr>
          <w:szCs w:val="21"/>
        </w:rPr>
      </w:pPr>
      <w:r>
        <w:rPr>
          <w:b/>
          <w:szCs w:val="21"/>
        </w:rPr>
        <w:t xml:space="preserve">5.0.3  </w:t>
      </w:r>
      <w:r>
        <w:rPr>
          <w:rFonts w:hAnsi="宋体"/>
          <w:szCs w:val="21"/>
        </w:rPr>
        <w:t>混凝土强度标准差</w:t>
      </w:r>
      <w:r>
        <w:rPr>
          <w:rFonts w:hint="eastAsia"/>
          <w:szCs w:val="21"/>
        </w:rPr>
        <w:t>（</w:t>
      </w:r>
      <w:r>
        <w:rPr>
          <w:i/>
          <w:szCs w:val="21"/>
        </w:rPr>
        <w:t>σ</w:t>
      </w:r>
      <w:r>
        <w:rPr>
          <w:rFonts w:hint="eastAsia"/>
          <w:szCs w:val="21"/>
        </w:rPr>
        <w:t>）</w:t>
      </w:r>
      <w:r>
        <w:rPr>
          <w:rFonts w:hint="eastAsia" w:hAnsi="宋体"/>
          <w:szCs w:val="21"/>
        </w:rPr>
        <w:t>应</w:t>
      </w:r>
      <w:r>
        <w:rPr>
          <w:rFonts w:hAnsi="宋体"/>
          <w:szCs w:val="21"/>
        </w:rPr>
        <w:t>按</w:t>
      </w:r>
      <w:r>
        <w:rPr>
          <w:rFonts w:hint="eastAsia" w:hAnsi="宋体"/>
          <w:szCs w:val="21"/>
        </w:rPr>
        <w:t>式5.0.3</w:t>
      </w:r>
      <w:r>
        <w:rPr>
          <w:rFonts w:hAnsi="宋体"/>
          <w:szCs w:val="21"/>
        </w:rPr>
        <w:t>计算</w:t>
      </w:r>
      <w:r>
        <w:rPr>
          <w:rFonts w:hint="eastAsia" w:hAnsi="宋体"/>
          <w:szCs w:val="21"/>
        </w:rPr>
        <w:t>，并</w:t>
      </w:r>
      <w:r>
        <w:rPr>
          <w:rFonts w:hAnsi="宋体"/>
          <w:szCs w:val="21"/>
        </w:rPr>
        <w:t>宜符合表</w:t>
      </w:r>
      <w:r>
        <w:rPr>
          <w:szCs w:val="21"/>
        </w:rPr>
        <w:t>5.0.</w:t>
      </w:r>
      <w:r>
        <w:rPr>
          <w:rFonts w:hint="eastAsia"/>
          <w:szCs w:val="21"/>
        </w:rPr>
        <w:t>3</w:t>
      </w:r>
      <w:r>
        <w:rPr>
          <w:rFonts w:hAnsi="宋体"/>
          <w:szCs w:val="21"/>
        </w:rPr>
        <w:t>的规定</w:t>
      </w:r>
      <w:r>
        <w:rPr>
          <w:rFonts w:hint="eastAsia" w:hAnsi="宋体"/>
          <w:szCs w:val="21"/>
        </w:rPr>
        <w:t>。</w:t>
      </w:r>
    </w:p>
    <w:p w14:paraId="75340077">
      <w:pPr>
        <w:tabs>
          <w:tab w:val="left" w:pos="7920"/>
        </w:tabs>
        <w:spacing w:line="300" w:lineRule="auto"/>
        <w:jc w:val="right"/>
        <w:rPr>
          <w:szCs w:val="21"/>
        </w:rPr>
      </w:pPr>
      <w:r>
        <w:rPr>
          <w:position w:val="-26"/>
          <w:szCs w:val="21"/>
        </w:rPr>
        <w:object>
          <v:shape id="_x0000_i1025" o:spt="75" type="#_x0000_t75" style="height:43.95pt;width:103.3pt;" o:ole="t" filled="f" o:preferrelative="t" stroked="f" coordsize="21600,21600">
            <v:path/>
            <v:fill on="f" focussize="0,0"/>
            <v:stroke on="f" joinstyle="miter"/>
            <v:imagedata r:id="rId15" o:title=""/>
            <o:lock v:ext="edit" aspectratio="t"/>
            <w10:wrap type="none"/>
            <w10:anchorlock/>
          </v:shape>
          <o:OLEObject Type="Embed" ProgID="Equation.DSMT4" ShapeID="_x0000_i1025" DrawAspect="Content" ObjectID="_1468075725" r:id="rId14">
            <o:LockedField>false</o:LockedField>
          </o:OLEObject>
        </w:object>
      </w:r>
      <w:r>
        <w:rPr>
          <w:szCs w:val="21"/>
        </w:rPr>
        <w:t xml:space="preserve">                      </w:t>
      </w:r>
      <w:r>
        <w:rPr>
          <w:rFonts w:hAnsi="宋体"/>
          <w:szCs w:val="21"/>
        </w:rPr>
        <w:t>（</w:t>
      </w:r>
      <w:r>
        <w:rPr>
          <w:szCs w:val="21"/>
        </w:rPr>
        <w:t>5.0.3</w:t>
      </w:r>
      <w:r>
        <w:rPr>
          <w:rFonts w:hAnsi="宋体"/>
          <w:szCs w:val="21"/>
        </w:rPr>
        <w:t>）</w:t>
      </w:r>
    </w:p>
    <w:p w14:paraId="75340078">
      <w:pPr>
        <w:tabs>
          <w:tab w:val="left" w:pos="7920"/>
        </w:tabs>
        <w:spacing w:line="300" w:lineRule="auto"/>
        <w:rPr>
          <w:rFonts w:hint="eastAsia" w:hAnsi="宋体"/>
          <w:szCs w:val="21"/>
        </w:rPr>
      </w:pPr>
      <w:r>
        <w:rPr>
          <w:rFonts w:hAnsi="宋体"/>
          <w:szCs w:val="21"/>
        </w:rPr>
        <w:t>式中：</w:t>
      </w:r>
      <w:r>
        <w:rPr>
          <w:rFonts w:hint="eastAsia" w:hAnsi="宋体"/>
          <w:szCs w:val="21"/>
        </w:rPr>
        <w:t xml:space="preserve">   </w:t>
      </w:r>
      <w:r>
        <w:rPr>
          <w:i/>
          <w:szCs w:val="21"/>
        </w:rPr>
        <w:t>σ</w:t>
      </w:r>
      <w:r>
        <w:rPr>
          <w:szCs w:val="21"/>
        </w:rPr>
        <w:t>——</w:t>
      </w:r>
      <w:r>
        <w:rPr>
          <w:rFonts w:hint="eastAsia"/>
          <w:szCs w:val="21"/>
        </w:rPr>
        <w:t>混凝土强度标准差，</w:t>
      </w:r>
      <w:r>
        <w:rPr>
          <w:rFonts w:hAnsi="宋体"/>
          <w:szCs w:val="21"/>
        </w:rPr>
        <w:t>精确到</w:t>
      </w:r>
      <w:r>
        <w:rPr>
          <w:szCs w:val="21"/>
        </w:rPr>
        <w:t>0.1MPa</w:t>
      </w:r>
      <w:r>
        <w:rPr>
          <w:rFonts w:hAnsi="宋体"/>
          <w:szCs w:val="21"/>
        </w:rPr>
        <w:t>；</w:t>
      </w:r>
    </w:p>
    <w:p w14:paraId="75340079">
      <w:pPr>
        <w:tabs>
          <w:tab w:val="left" w:pos="7920"/>
        </w:tabs>
        <w:spacing w:line="300" w:lineRule="auto"/>
        <w:rPr>
          <w:szCs w:val="21"/>
        </w:rPr>
      </w:pPr>
      <w:r>
        <w:rPr>
          <w:rFonts w:hint="eastAsia" w:hAnsi="宋体"/>
          <w:szCs w:val="21"/>
        </w:rPr>
        <w:t xml:space="preserve">      </w:t>
      </w:r>
      <w:r>
        <w:rPr>
          <w:szCs w:val="21"/>
        </w:rPr>
        <w:t xml:space="preserve"> </w:t>
      </w:r>
      <w:r>
        <w:rPr>
          <w:i/>
          <w:szCs w:val="21"/>
        </w:rPr>
        <w:t>f</w:t>
      </w:r>
      <w:r>
        <w:rPr>
          <w:szCs w:val="21"/>
          <w:vertAlign w:val="subscript"/>
        </w:rPr>
        <w:t>cu</w:t>
      </w:r>
      <w:r>
        <w:rPr>
          <w:i/>
          <w:szCs w:val="21"/>
          <w:vertAlign w:val="subscript"/>
        </w:rPr>
        <w:t>,</w:t>
      </w:r>
      <w:r>
        <w:rPr>
          <w:rFonts w:hint="eastAsia"/>
          <w:i/>
          <w:szCs w:val="21"/>
          <w:vertAlign w:val="subscript"/>
        </w:rPr>
        <w:t>i</w:t>
      </w:r>
      <w:r>
        <w:rPr>
          <w:i/>
          <w:szCs w:val="21"/>
          <w:vertAlign w:val="subscript"/>
        </w:rPr>
        <w:t xml:space="preserve"> </w:t>
      </w:r>
      <w:r>
        <w:rPr>
          <w:szCs w:val="21"/>
        </w:rPr>
        <w:t>——</w:t>
      </w:r>
      <w:r>
        <w:rPr>
          <w:rFonts w:hAnsi="宋体"/>
          <w:szCs w:val="21"/>
        </w:rPr>
        <w:t>统计周期内第</w:t>
      </w:r>
      <w:r>
        <w:rPr>
          <w:i/>
          <w:szCs w:val="21"/>
        </w:rPr>
        <w:t>i</w:t>
      </w:r>
      <w:r>
        <w:rPr>
          <w:rFonts w:hAnsi="宋体"/>
          <w:szCs w:val="21"/>
        </w:rPr>
        <w:t>组混凝土立方体试件的抗压强度值，精确到</w:t>
      </w:r>
      <w:r>
        <w:rPr>
          <w:szCs w:val="21"/>
        </w:rPr>
        <w:t>0.1MPa</w:t>
      </w:r>
      <w:r>
        <w:rPr>
          <w:rFonts w:hAnsi="宋体"/>
          <w:szCs w:val="21"/>
        </w:rPr>
        <w:t>；</w:t>
      </w:r>
    </w:p>
    <w:p w14:paraId="7534007A">
      <w:pPr>
        <w:tabs>
          <w:tab w:val="left" w:pos="7920"/>
        </w:tabs>
        <w:spacing w:line="300" w:lineRule="auto"/>
        <w:ind w:firstLine="630" w:firstLineChars="300"/>
        <w:rPr>
          <w:szCs w:val="21"/>
        </w:rPr>
      </w:pPr>
      <w:r>
        <w:rPr>
          <w:i/>
          <w:szCs w:val="21"/>
        </w:rPr>
        <w:t>m</w:t>
      </w:r>
      <w:r>
        <w:rPr>
          <w:szCs w:val="21"/>
          <w:vertAlign w:val="subscript"/>
        </w:rPr>
        <w:t xml:space="preserve">fcu </w:t>
      </w:r>
      <w:r>
        <w:rPr>
          <w:szCs w:val="21"/>
        </w:rPr>
        <w:t>——</w:t>
      </w:r>
      <w:r>
        <w:rPr>
          <w:rFonts w:hAnsi="宋体"/>
          <w:szCs w:val="21"/>
        </w:rPr>
        <w:t>统计周期内</w:t>
      </w:r>
      <w:r>
        <w:rPr>
          <w:i/>
          <w:szCs w:val="21"/>
        </w:rPr>
        <w:t>n</w:t>
      </w:r>
      <w:r>
        <w:rPr>
          <w:rFonts w:hAnsi="宋体"/>
          <w:szCs w:val="21"/>
        </w:rPr>
        <w:t>组混凝土立方体试件的抗压强度的平均值，精确到</w:t>
      </w:r>
      <w:r>
        <w:rPr>
          <w:szCs w:val="21"/>
        </w:rPr>
        <w:t>0.1MPa</w:t>
      </w:r>
      <w:r>
        <w:rPr>
          <w:rFonts w:hAnsi="宋体"/>
          <w:szCs w:val="21"/>
        </w:rPr>
        <w:t>；</w:t>
      </w:r>
    </w:p>
    <w:p w14:paraId="7534007B">
      <w:pPr>
        <w:tabs>
          <w:tab w:val="left" w:pos="7920"/>
        </w:tabs>
        <w:spacing w:line="300" w:lineRule="auto"/>
        <w:ind w:firstLine="840" w:firstLineChars="400"/>
        <w:rPr>
          <w:szCs w:val="21"/>
        </w:rPr>
      </w:pPr>
      <w:r>
        <w:rPr>
          <w:i/>
          <w:szCs w:val="21"/>
        </w:rPr>
        <w:t>n</w:t>
      </w:r>
      <w:r>
        <w:rPr>
          <w:szCs w:val="21"/>
        </w:rPr>
        <w:t>——</w:t>
      </w:r>
      <w:r>
        <w:rPr>
          <w:rFonts w:hAnsi="宋体"/>
          <w:szCs w:val="21"/>
        </w:rPr>
        <w:t>统计周期内相同强度等级混凝土的试件组数，</w:t>
      </w:r>
      <w:r>
        <w:rPr>
          <w:i/>
          <w:szCs w:val="21"/>
        </w:rPr>
        <w:t>n</w:t>
      </w:r>
      <w:r>
        <w:rPr>
          <w:rFonts w:hAnsi="宋体"/>
          <w:szCs w:val="21"/>
        </w:rPr>
        <w:t>值不应小于</w:t>
      </w:r>
      <w:r>
        <w:rPr>
          <w:szCs w:val="21"/>
        </w:rPr>
        <w:t>30</w:t>
      </w:r>
      <w:r>
        <w:rPr>
          <w:rFonts w:hAnsi="宋体"/>
          <w:szCs w:val="21"/>
        </w:rPr>
        <w:t>。</w:t>
      </w:r>
    </w:p>
    <w:p w14:paraId="7534007C">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表5.0.3  混凝土强度标准差（MPa）</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7"/>
        <w:gridCol w:w="1859"/>
        <w:gridCol w:w="1800"/>
        <w:gridCol w:w="1732"/>
      </w:tblGrid>
      <w:tr w14:paraId="7534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27" w:type="dxa"/>
            <w:vMerge w:val="restart"/>
            <w:vAlign w:val="center"/>
          </w:tcPr>
          <w:p w14:paraId="7534007D">
            <w:pPr>
              <w:jc w:val="center"/>
              <w:rPr>
                <w:sz w:val="18"/>
                <w:szCs w:val="18"/>
              </w:rPr>
            </w:pPr>
            <w:r>
              <w:rPr>
                <w:rFonts w:hAnsi="宋体"/>
                <w:sz w:val="18"/>
                <w:szCs w:val="18"/>
              </w:rPr>
              <w:t>生产场所</w:t>
            </w:r>
          </w:p>
        </w:tc>
        <w:tc>
          <w:tcPr>
            <w:tcW w:w="5391" w:type="dxa"/>
            <w:gridSpan w:val="3"/>
            <w:vAlign w:val="center"/>
          </w:tcPr>
          <w:p w14:paraId="7534007E">
            <w:pPr>
              <w:jc w:val="center"/>
              <w:rPr>
                <w:sz w:val="18"/>
                <w:szCs w:val="18"/>
              </w:rPr>
            </w:pPr>
            <w:r>
              <w:rPr>
                <w:rFonts w:hAnsi="宋体"/>
                <w:sz w:val="18"/>
                <w:szCs w:val="18"/>
              </w:rPr>
              <w:t>强度标准差</w:t>
            </w:r>
            <w:r>
              <w:rPr>
                <w:i/>
                <w:sz w:val="18"/>
                <w:szCs w:val="18"/>
              </w:rPr>
              <w:t>σ</w:t>
            </w:r>
          </w:p>
        </w:tc>
      </w:tr>
      <w:tr w14:paraId="7534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27" w:type="dxa"/>
            <w:vMerge w:val="continue"/>
            <w:vAlign w:val="center"/>
          </w:tcPr>
          <w:p w14:paraId="75340080">
            <w:pPr>
              <w:jc w:val="center"/>
              <w:rPr>
                <w:sz w:val="18"/>
                <w:szCs w:val="18"/>
              </w:rPr>
            </w:pPr>
          </w:p>
        </w:tc>
        <w:tc>
          <w:tcPr>
            <w:tcW w:w="1859" w:type="dxa"/>
            <w:vAlign w:val="center"/>
          </w:tcPr>
          <w:p w14:paraId="75340081">
            <w:pPr>
              <w:jc w:val="center"/>
              <w:rPr>
                <w:sz w:val="18"/>
                <w:szCs w:val="18"/>
              </w:rPr>
            </w:pPr>
            <w:r>
              <w:rPr>
                <w:rFonts w:hint="eastAsia"/>
                <w:sz w:val="18"/>
                <w:szCs w:val="18"/>
              </w:rPr>
              <w:t>≤</w:t>
            </w:r>
            <w:r>
              <w:rPr>
                <w:sz w:val="18"/>
                <w:szCs w:val="18"/>
              </w:rPr>
              <w:t>C20</w:t>
            </w:r>
          </w:p>
        </w:tc>
        <w:tc>
          <w:tcPr>
            <w:tcW w:w="1800" w:type="dxa"/>
            <w:vAlign w:val="center"/>
          </w:tcPr>
          <w:p w14:paraId="75340082">
            <w:pPr>
              <w:jc w:val="center"/>
              <w:rPr>
                <w:sz w:val="18"/>
                <w:szCs w:val="18"/>
              </w:rPr>
            </w:pPr>
            <w:r>
              <w:rPr>
                <w:sz w:val="18"/>
                <w:szCs w:val="18"/>
              </w:rPr>
              <w:t>C2</w:t>
            </w:r>
            <w:r>
              <w:rPr>
                <w:rFonts w:hint="eastAsia"/>
                <w:sz w:val="18"/>
                <w:szCs w:val="18"/>
              </w:rPr>
              <w:t>5</w:t>
            </w:r>
            <w:r>
              <w:rPr>
                <w:rFonts w:hAnsi="宋体"/>
                <w:sz w:val="18"/>
                <w:szCs w:val="18"/>
              </w:rPr>
              <w:t>～</w:t>
            </w:r>
            <w:r>
              <w:rPr>
                <w:sz w:val="18"/>
                <w:szCs w:val="18"/>
              </w:rPr>
              <w:t>C4</w:t>
            </w:r>
            <w:r>
              <w:rPr>
                <w:rFonts w:hint="eastAsia"/>
                <w:sz w:val="18"/>
                <w:szCs w:val="18"/>
              </w:rPr>
              <w:t>5</w:t>
            </w:r>
          </w:p>
        </w:tc>
        <w:tc>
          <w:tcPr>
            <w:tcW w:w="1732" w:type="dxa"/>
            <w:vAlign w:val="center"/>
          </w:tcPr>
          <w:p w14:paraId="75340083">
            <w:pPr>
              <w:jc w:val="center"/>
              <w:rPr>
                <w:sz w:val="18"/>
                <w:szCs w:val="18"/>
              </w:rPr>
            </w:pPr>
            <w:r>
              <w:rPr>
                <w:sz w:val="18"/>
                <w:szCs w:val="18"/>
              </w:rPr>
              <w:t>≥C5</w:t>
            </w:r>
            <w:r>
              <w:rPr>
                <w:rFonts w:hint="eastAsia"/>
                <w:sz w:val="18"/>
                <w:szCs w:val="18"/>
              </w:rPr>
              <w:t>0</w:t>
            </w:r>
          </w:p>
        </w:tc>
      </w:tr>
      <w:tr w14:paraId="75340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27" w:type="dxa"/>
            <w:vAlign w:val="center"/>
          </w:tcPr>
          <w:p w14:paraId="75340085">
            <w:pPr>
              <w:jc w:val="center"/>
              <w:rPr>
                <w:sz w:val="18"/>
                <w:szCs w:val="18"/>
              </w:rPr>
            </w:pPr>
            <w:r>
              <w:rPr>
                <w:rFonts w:hint="eastAsia" w:hAnsi="宋体"/>
                <w:sz w:val="18"/>
                <w:szCs w:val="18"/>
              </w:rPr>
              <w:t>预拌</w:t>
            </w:r>
            <w:r>
              <w:rPr>
                <w:rFonts w:hAnsi="宋体"/>
                <w:sz w:val="18"/>
                <w:szCs w:val="18"/>
              </w:rPr>
              <w:t>混凝土搅拌站</w:t>
            </w:r>
          </w:p>
          <w:p w14:paraId="75340086">
            <w:pPr>
              <w:jc w:val="center"/>
              <w:rPr>
                <w:sz w:val="18"/>
                <w:szCs w:val="18"/>
              </w:rPr>
            </w:pPr>
            <w:r>
              <w:rPr>
                <w:rFonts w:hAnsi="宋体"/>
                <w:sz w:val="18"/>
                <w:szCs w:val="18"/>
              </w:rPr>
              <w:t>预制混凝土构件厂</w:t>
            </w:r>
          </w:p>
        </w:tc>
        <w:tc>
          <w:tcPr>
            <w:tcW w:w="1859" w:type="dxa"/>
            <w:vAlign w:val="center"/>
          </w:tcPr>
          <w:p w14:paraId="75340087">
            <w:pPr>
              <w:spacing w:line="360" w:lineRule="auto"/>
              <w:jc w:val="center"/>
              <w:rPr>
                <w:sz w:val="18"/>
                <w:szCs w:val="18"/>
              </w:rPr>
            </w:pPr>
            <w:r>
              <w:rPr>
                <w:sz w:val="18"/>
                <w:szCs w:val="18"/>
              </w:rPr>
              <w:t>≤3.0</w:t>
            </w:r>
          </w:p>
        </w:tc>
        <w:tc>
          <w:tcPr>
            <w:tcW w:w="1800" w:type="dxa"/>
            <w:vAlign w:val="center"/>
          </w:tcPr>
          <w:p w14:paraId="75340088">
            <w:pPr>
              <w:spacing w:line="360" w:lineRule="auto"/>
              <w:jc w:val="center"/>
              <w:rPr>
                <w:sz w:val="18"/>
                <w:szCs w:val="18"/>
              </w:rPr>
            </w:pPr>
            <w:r>
              <w:rPr>
                <w:sz w:val="18"/>
                <w:szCs w:val="18"/>
              </w:rPr>
              <w:t>≤3.5</w:t>
            </w:r>
          </w:p>
        </w:tc>
        <w:tc>
          <w:tcPr>
            <w:tcW w:w="1732" w:type="dxa"/>
            <w:vAlign w:val="center"/>
          </w:tcPr>
          <w:p w14:paraId="75340089">
            <w:pPr>
              <w:spacing w:line="360" w:lineRule="auto"/>
              <w:jc w:val="center"/>
              <w:rPr>
                <w:sz w:val="18"/>
                <w:szCs w:val="18"/>
              </w:rPr>
            </w:pPr>
            <w:r>
              <w:rPr>
                <w:sz w:val="18"/>
                <w:szCs w:val="18"/>
              </w:rPr>
              <w:t>≤4.0</w:t>
            </w:r>
          </w:p>
        </w:tc>
      </w:tr>
      <w:tr w14:paraId="7534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27" w:type="dxa"/>
            <w:vAlign w:val="center"/>
          </w:tcPr>
          <w:p w14:paraId="7534008B">
            <w:pPr>
              <w:jc w:val="center"/>
              <w:rPr>
                <w:sz w:val="18"/>
                <w:szCs w:val="18"/>
              </w:rPr>
            </w:pPr>
            <w:r>
              <w:rPr>
                <w:rFonts w:hAnsi="宋体"/>
                <w:sz w:val="18"/>
                <w:szCs w:val="18"/>
              </w:rPr>
              <w:t>施工现场搅拌站</w:t>
            </w:r>
          </w:p>
        </w:tc>
        <w:tc>
          <w:tcPr>
            <w:tcW w:w="1859" w:type="dxa"/>
            <w:vAlign w:val="center"/>
          </w:tcPr>
          <w:p w14:paraId="7534008C">
            <w:pPr>
              <w:jc w:val="center"/>
              <w:rPr>
                <w:sz w:val="18"/>
                <w:szCs w:val="18"/>
              </w:rPr>
            </w:pPr>
            <w:r>
              <w:rPr>
                <w:sz w:val="18"/>
                <w:szCs w:val="18"/>
              </w:rPr>
              <w:t>≤3.5</w:t>
            </w:r>
          </w:p>
        </w:tc>
        <w:tc>
          <w:tcPr>
            <w:tcW w:w="1800" w:type="dxa"/>
            <w:vAlign w:val="center"/>
          </w:tcPr>
          <w:p w14:paraId="7534008D">
            <w:pPr>
              <w:jc w:val="center"/>
              <w:rPr>
                <w:sz w:val="18"/>
                <w:szCs w:val="18"/>
              </w:rPr>
            </w:pPr>
            <w:r>
              <w:rPr>
                <w:sz w:val="18"/>
                <w:szCs w:val="18"/>
              </w:rPr>
              <w:t>≤4.0</w:t>
            </w:r>
          </w:p>
        </w:tc>
        <w:tc>
          <w:tcPr>
            <w:tcW w:w="1732" w:type="dxa"/>
            <w:vAlign w:val="center"/>
          </w:tcPr>
          <w:p w14:paraId="7534008E">
            <w:pPr>
              <w:jc w:val="center"/>
              <w:rPr>
                <w:sz w:val="18"/>
                <w:szCs w:val="18"/>
              </w:rPr>
            </w:pPr>
            <w:r>
              <w:rPr>
                <w:sz w:val="18"/>
                <w:szCs w:val="18"/>
              </w:rPr>
              <w:t>≤4.5</w:t>
            </w:r>
          </w:p>
        </w:tc>
      </w:tr>
    </w:tbl>
    <w:p w14:paraId="75340090">
      <w:pPr>
        <w:spacing w:line="300" w:lineRule="auto"/>
        <w:rPr>
          <w:szCs w:val="21"/>
        </w:rPr>
      </w:pPr>
      <w:r>
        <w:rPr>
          <w:b/>
          <w:szCs w:val="21"/>
        </w:rPr>
        <w:t xml:space="preserve">5.0.4  </w:t>
      </w:r>
      <w:r>
        <w:rPr>
          <w:rFonts w:hAnsi="宋体"/>
          <w:szCs w:val="21"/>
        </w:rPr>
        <w:t>实测强度</w:t>
      </w:r>
      <w:r>
        <w:rPr>
          <w:rFonts w:hint="eastAsia" w:hAnsi="宋体"/>
          <w:szCs w:val="21"/>
        </w:rPr>
        <w:t>达到强度标准值组数的百分</w:t>
      </w:r>
      <w:r>
        <w:rPr>
          <w:rFonts w:hAnsi="宋体"/>
          <w:szCs w:val="21"/>
        </w:rPr>
        <w:t>率</w:t>
      </w:r>
      <w:r>
        <w:rPr>
          <w:rFonts w:hint="eastAsia" w:hAnsi="宋体"/>
          <w:szCs w:val="21"/>
        </w:rPr>
        <w:t>（</w:t>
      </w:r>
      <w:r>
        <w:rPr>
          <w:i/>
          <w:szCs w:val="21"/>
        </w:rPr>
        <w:t>P</w:t>
      </w:r>
      <w:r>
        <w:rPr>
          <w:rFonts w:hint="eastAsia"/>
          <w:szCs w:val="21"/>
        </w:rPr>
        <w:t>）</w:t>
      </w:r>
      <w:r>
        <w:rPr>
          <w:rFonts w:hint="eastAsia" w:hAnsi="宋体"/>
          <w:szCs w:val="21"/>
        </w:rPr>
        <w:t>应</w:t>
      </w:r>
      <w:r>
        <w:rPr>
          <w:rFonts w:hAnsi="宋体"/>
          <w:szCs w:val="21"/>
        </w:rPr>
        <w:t>按式</w:t>
      </w:r>
      <w:r>
        <w:rPr>
          <w:rFonts w:hint="eastAsia" w:hAnsi="宋体"/>
          <w:szCs w:val="21"/>
        </w:rPr>
        <w:t>5.0.4</w:t>
      </w:r>
      <w:r>
        <w:rPr>
          <w:rFonts w:hAnsi="宋体"/>
          <w:szCs w:val="21"/>
        </w:rPr>
        <w:t>计算</w:t>
      </w:r>
      <w:r>
        <w:rPr>
          <w:rFonts w:hint="eastAsia" w:hAnsi="宋体"/>
          <w:szCs w:val="21"/>
        </w:rPr>
        <w:t>，且</w:t>
      </w:r>
      <w:r>
        <w:rPr>
          <w:i/>
          <w:szCs w:val="21"/>
        </w:rPr>
        <w:t>P</w:t>
      </w:r>
      <w:r>
        <w:rPr>
          <w:rFonts w:hAnsi="宋体"/>
          <w:szCs w:val="21"/>
        </w:rPr>
        <w:t>不应小于</w:t>
      </w:r>
      <w:r>
        <w:rPr>
          <w:szCs w:val="21"/>
        </w:rPr>
        <w:t>95%</w:t>
      </w:r>
      <w:r>
        <w:rPr>
          <w:rFonts w:hint="eastAsia"/>
          <w:szCs w:val="21"/>
        </w:rPr>
        <w:t>。</w:t>
      </w:r>
    </w:p>
    <w:p w14:paraId="75340091">
      <w:pPr>
        <w:spacing w:line="300" w:lineRule="auto"/>
        <w:jc w:val="right"/>
        <w:rPr>
          <w:szCs w:val="21"/>
        </w:rPr>
      </w:pPr>
      <w:r>
        <w:rPr>
          <w:i/>
          <w:szCs w:val="21"/>
        </w:rPr>
        <w:t xml:space="preserve">                                P = </w:t>
      </w:r>
      <w:r>
        <w:rPr>
          <w:i/>
          <w:position w:val="-24"/>
          <w:szCs w:val="21"/>
        </w:rPr>
        <w:object>
          <v:shape id="_x0000_i1026" o:spt="75" type="#_x0000_t75" style="height:31.3pt;width:14.95pt;" o:ole="t" filled="f" o:preferrelative="t" stroked="f" coordsize="21600,21600">
            <v:path/>
            <v:fill on="f" focussize="0,0"/>
            <v:stroke on="f" joinstyle="miter"/>
            <v:imagedata r:id="rId17" o:title=""/>
            <o:lock v:ext="edit" aspectratio="t"/>
            <w10:wrap type="none"/>
            <w10:anchorlock/>
          </v:shape>
          <o:OLEObject Type="Embed" ProgID="Equation.3" ShapeID="_x0000_i1026" DrawAspect="Content" ObjectID="_1468075726" r:id="rId16">
            <o:LockedField>false</o:LockedField>
          </o:OLEObject>
        </w:object>
      </w:r>
      <w:r>
        <w:rPr>
          <w:szCs w:val="21"/>
        </w:rPr>
        <w:t xml:space="preserve">×100%       </w:t>
      </w:r>
      <w:r>
        <w:rPr>
          <w:rFonts w:hint="eastAsia"/>
          <w:szCs w:val="21"/>
        </w:rPr>
        <w:t xml:space="preserve">    </w:t>
      </w:r>
      <w:r>
        <w:rPr>
          <w:szCs w:val="21"/>
        </w:rPr>
        <w:t xml:space="preserve">          </w:t>
      </w:r>
      <w:r>
        <w:rPr>
          <w:rFonts w:hAnsi="宋体"/>
          <w:szCs w:val="21"/>
        </w:rPr>
        <w:t>（</w:t>
      </w:r>
      <w:r>
        <w:rPr>
          <w:szCs w:val="21"/>
        </w:rPr>
        <w:t>5.0.4</w:t>
      </w:r>
      <w:r>
        <w:rPr>
          <w:rFonts w:hAnsi="宋体"/>
          <w:szCs w:val="21"/>
        </w:rPr>
        <w:t>）</w:t>
      </w:r>
    </w:p>
    <w:p w14:paraId="75340092">
      <w:pPr>
        <w:tabs>
          <w:tab w:val="left" w:pos="7920"/>
        </w:tabs>
        <w:spacing w:line="300" w:lineRule="auto"/>
        <w:rPr>
          <w:szCs w:val="21"/>
        </w:rPr>
      </w:pPr>
      <w:r>
        <w:rPr>
          <w:rFonts w:hAnsi="宋体"/>
          <w:szCs w:val="21"/>
        </w:rPr>
        <w:t>式中：</w:t>
      </w:r>
      <w:r>
        <w:rPr>
          <w:szCs w:val="21"/>
        </w:rPr>
        <w:t xml:space="preserve"> </w:t>
      </w:r>
      <w:r>
        <w:rPr>
          <w:i/>
          <w:szCs w:val="21"/>
        </w:rPr>
        <w:t>P</w:t>
      </w:r>
      <w:r>
        <w:rPr>
          <w:szCs w:val="21"/>
        </w:rPr>
        <w:t>——</w:t>
      </w:r>
      <w:r>
        <w:rPr>
          <w:rFonts w:hAnsi="宋体"/>
          <w:szCs w:val="21"/>
        </w:rPr>
        <w:t>统计周期内实测强度</w:t>
      </w:r>
      <w:r>
        <w:rPr>
          <w:rFonts w:hint="eastAsia" w:hAnsi="宋体"/>
          <w:szCs w:val="21"/>
        </w:rPr>
        <w:t>达到强度标准值组数的百分</w:t>
      </w:r>
      <w:r>
        <w:rPr>
          <w:rFonts w:hAnsi="宋体"/>
          <w:szCs w:val="21"/>
        </w:rPr>
        <w:t>率，精确到</w:t>
      </w:r>
      <w:r>
        <w:rPr>
          <w:szCs w:val="21"/>
        </w:rPr>
        <w:t>0.1%</w:t>
      </w:r>
      <w:r>
        <w:rPr>
          <w:rFonts w:hAnsi="宋体"/>
          <w:szCs w:val="21"/>
        </w:rPr>
        <w:t>；</w:t>
      </w:r>
    </w:p>
    <w:p w14:paraId="75340093">
      <w:pPr>
        <w:tabs>
          <w:tab w:val="left" w:pos="7920"/>
        </w:tabs>
        <w:spacing w:line="300" w:lineRule="auto"/>
        <w:ind w:firstLine="630" w:firstLineChars="300"/>
        <w:rPr>
          <w:szCs w:val="21"/>
        </w:rPr>
      </w:pPr>
      <w:r>
        <w:rPr>
          <w:i/>
          <w:szCs w:val="21"/>
        </w:rPr>
        <w:t>n</w:t>
      </w:r>
      <w:r>
        <w:rPr>
          <w:szCs w:val="21"/>
          <w:vertAlign w:val="subscript"/>
        </w:rPr>
        <w:t>0</w:t>
      </w:r>
      <w:r>
        <w:rPr>
          <w:szCs w:val="21"/>
        </w:rPr>
        <w:t>——</w:t>
      </w:r>
      <w:r>
        <w:rPr>
          <w:rFonts w:hAnsi="宋体"/>
          <w:szCs w:val="21"/>
        </w:rPr>
        <w:t>统计周期内相同强度等级混凝土达到</w:t>
      </w:r>
      <w:r>
        <w:rPr>
          <w:rFonts w:hint="eastAsia" w:hAnsi="宋体"/>
          <w:szCs w:val="21"/>
        </w:rPr>
        <w:t>强度标准值</w:t>
      </w:r>
      <w:r>
        <w:rPr>
          <w:rFonts w:hAnsi="宋体"/>
          <w:szCs w:val="21"/>
        </w:rPr>
        <w:t>的试件组数。</w:t>
      </w:r>
    </w:p>
    <w:p w14:paraId="75340094">
      <w:pPr>
        <w:spacing w:line="300" w:lineRule="auto"/>
        <w:rPr>
          <w:rFonts w:hint="eastAsia" w:hAnsi="宋体"/>
          <w:szCs w:val="21"/>
        </w:rPr>
        <w:sectPr>
          <w:pgSz w:w="11906" w:h="16838"/>
          <w:pgMar w:top="1440" w:right="1800" w:bottom="1440" w:left="1800" w:header="851" w:footer="992" w:gutter="0"/>
          <w:pgNumType w:fmt="decimal"/>
          <w:cols w:space="425" w:num="1"/>
          <w:docGrid w:type="lines" w:linePitch="312" w:charSpace="0"/>
        </w:sectPr>
      </w:pPr>
      <w:r>
        <w:rPr>
          <w:b/>
          <w:szCs w:val="21"/>
        </w:rPr>
        <w:t xml:space="preserve">5.0.5  </w:t>
      </w:r>
      <w:r>
        <w:rPr>
          <w:rFonts w:hAnsi="宋体"/>
          <w:szCs w:val="21"/>
        </w:rPr>
        <w:t>预拌混凝土搅拌站和预制混凝土构件厂的统计周期可取一个月；施工现场搅拌站的统计周期可根据实际情况确定，</w:t>
      </w:r>
      <w:r>
        <w:rPr>
          <w:rFonts w:hAnsi="宋体"/>
        </w:rPr>
        <w:t>但不宜超过三个月</w:t>
      </w:r>
      <w:r>
        <w:rPr>
          <w:rFonts w:hAnsi="宋体"/>
          <w:szCs w:val="21"/>
        </w:rPr>
        <w:t>。</w:t>
      </w:r>
    </w:p>
    <w:p w14:paraId="75340095">
      <w:pPr>
        <w:pStyle w:val="38"/>
        <w:spacing w:before="312" w:after="312"/>
        <w:rPr>
          <w:rFonts w:hint="eastAsia" w:hAnsi="宋体"/>
          <w:b w:val="0"/>
        </w:rPr>
      </w:pPr>
      <w:bookmarkStart w:id="97" w:name="_Toc275249815"/>
      <w:bookmarkStart w:id="98" w:name="_Toc269885297"/>
      <w:bookmarkStart w:id="99" w:name="_Toc268120168"/>
      <w:bookmarkStart w:id="100" w:name="_Toc268120042"/>
      <w:bookmarkStart w:id="101" w:name="_Toc201943562"/>
      <w:bookmarkStart w:id="102" w:name="_Toc268678432"/>
      <w:r>
        <w:rPr>
          <w:b w:val="0"/>
        </w:rPr>
        <w:t xml:space="preserve">6  </w:t>
      </w:r>
      <w:r>
        <w:rPr>
          <w:rFonts w:hAnsi="宋体"/>
          <w:b w:val="0"/>
        </w:rPr>
        <w:t>生产与施工质量控制</w:t>
      </w:r>
      <w:bookmarkEnd w:id="97"/>
      <w:bookmarkEnd w:id="98"/>
      <w:bookmarkEnd w:id="99"/>
      <w:bookmarkEnd w:id="100"/>
      <w:bookmarkEnd w:id="101"/>
      <w:bookmarkEnd w:id="102"/>
    </w:p>
    <w:p w14:paraId="75340096">
      <w:pPr>
        <w:spacing w:before="312" w:beforeLines="100" w:after="312" w:afterLines="100" w:line="300" w:lineRule="auto"/>
        <w:jc w:val="center"/>
        <w:outlineLvl w:val="1"/>
        <w:rPr>
          <w:rFonts w:hint="eastAsia" w:hAnsi="宋体"/>
          <w:bCs/>
          <w:sz w:val="24"/>
        </w:rPr>
      </w:pPr>
      <w:bookmarkStart w:id="103" w:name="_Toc275249816"/>
      <w:bookmarkStart w:id="104" w:name="_Toc201943563"/>
      <w:r>
        <w:rPr>
          <w:rFonts w:hint="eastAsia" w:hAnsi="宋体"/>
          <w:bCs/>
          <w:sz w:val="24"/>
        </w:rPr>
        <w:t xml:space="preserve">6.1  </w:t>
      </w:r>
      <w:bookmarkEnd w:id="103"/>
      <w:r>
        <w:rPr>
          <w:rFonts w:hint="eastAsia" w:hAnsi="宋体"/>
          <w:bCs/>
          <w:sz w:val="24"/>
        </w:rPr>
        <w:t>一般规定</w:t>
      </w:r>
      <w:bookmarkEnd w:id="104"/>
    </w:p>
    <w:p w14:paraId="75340097">
      <w:pPr>
        <w:spacing w:line="300" w:lineRule="auto"/>
        <w:rPr>
          <w:rFonts w:hint="eastAsia" w:hAnsi="宋体"/>
        </w:rPr>
      </w:pPr>
      <w:r>
        <w:rPr>
          <w:b/>
          <w:szCs w:val="21"/>
        </w:rPr>
        <w:t>6.</w:t>
      </w:r>
      <w:r>
        <w:rPr>
          <w:rFonts w:hint="eastAsia"/>
          <w:b/>
          <w:szCs w:val="21"/>
        </w:rPr>
        <w:t>1</w:t>
      </w:r>
      <w:r>
        <w:rPr>
          <w:b/>
          <w:szCs w:val="21"/>
        </w:rPr>
        <w:t>.1</w:t>
      </w:r>
      <w:r>
        <w:rPr>
          <w:rFonts w:hAnsi="宋体"/>
        </w:rPr>
        <w:t xml:space="preserve">  混凝土</w:t>
      </w:r>
      <w:r>
        <w:rPr>
          <w:rFonts w:hint="eastAsia" w:hAnsi="宋体"/>
        </w:rPr>
        <w:t>生产施工之前，应制订完整的技术方案，并应做好各项准备工作。</w:t>
      </w:r>
    </w:p>
    <w:p w14:paraId="35455871">
      <w:pPr>
        <w:spacing w:line="300" w:lineRule="auto"/>
        <w:rPr>
          <w:rFonts w:hint="eastAsia" w:hAnsi="宋体"/>
        </w:rPr>
      </w:pPr>
      <w:r>
        <w:rPr>
          <w:rFonts w:hint="eastAsia"/>
          <w:b/>
          <w:szCs w:val="21"/>
        </w:rPr>
        <w:t xml:space="preserve">6.1.2 </w:t>
      </w:r>
      <w:r>
        <w:rPr>
          <w:rFonts w:hint="eastAsia" w:hAnsi="宋体"/>
        </w:rPr>
        <w:t xml:space="preserve"> 冬期、高温和雨期施工应符合现行国家标准《混凝土结构工程施工规范》GB 50666的规定，冬期施工还应符合现行行业标准《建筑工程冬期施工规程》JGJ/T 104的规定。</w:t>
      </w:r>
    </w:p>
    <w:p w14:paraId="75340098">
      <w:pPr>
        <w:spacing w:before="156" w:beforeLines="50" w:after="312" w:afterLines="100" w:line="300" w:lineRule="auto"/>
        <w:jc w:val="center"/>
        <w:outlineLvl w:val="1"/>
        <w:rPr>
          <w:bCs/>
          <w:sz w:val="24"/>
        </w:rPr>
      </w:pPr>
      <w:bookmarkStart w:id="105" w:name="_Toc269885298"/>
      <w:bookmarkStart w:id="106" w:name="_Toc268120169"/>
      <w:bookmarkStart w:id="107" w:name="_Toc275249817"/>
      <w:bookmarkStart w:id="108" w:name="_Toc201943564"/>
      <w:bookmarkStart w:id="109" w:name="_Toc268120043"/>
      <w:bookmarkStart w:id="110" w:name="_Toc268678433"/>
      <w:r>
        <w:rPr>
          <w:bCs/>
          <w:sz w:val="24"/>
        </w:rPr>
        <w:t xml:space="preserve">6.2 </w:t>
      </w:r>
      <w:r>
        <w:rPr>
          <w:rFonts w:hint="eastAsia"/>
          <w:bCs/>
          <w:sz w:val="24"/>
        </w:rPr>
        <w:t xml:space="preserve"> </w:t>
      </w:r>
      <w:r>
        <w:rPr>
          <w:rFonts w:hAnsi="宋体"/>
          <w:bCs/>
          <w:sz w:val="24"/>
        </w:rPr>
        <w:t>原材料进场</w:t>
      </w:r>
      <w:bookmarkEnd w:id="105"/>
      <w:bookmarkEnd w:id="106"/>
      <w:bookmarkEnd w:id="107"/>
      <w:bookmarkEnd w:id="108"/>
      <w:bookmarkEnd w:id="109"/>
      <w:bookmarkEnd w:id="110"/>
    </w:p>
    <w:p w14:paraId="75340099">
      <w:pPr>
        <w:spacing w:line="300" w:lineRule="auto"/>
      </w:pPr>
      <w:r>
        <w:rPr>
          <w:b/>
          <w:szCs w:val="21"/>
        </w:rPr>
        <w:t>6.2.1</w:t>
      </w:r>
      <w:r>
        <w:rPr>
          <w:szCs w:val="21"/>
        </w:rPr>
        <w:t xml:space="preserve">  </w:t>
      </w:r>
      <w:r>
        <w:rPr>
          <w:rFonts w:hAnsi="宋体"/>
        </w:rPr>
        <w:t>混凝土原材料进场时，供方应按规定批次向需方提供质量证明文件。质量证明文件应包括型式检验报告、出厂检验报告与合格证等，外加剂产品还应提供使用说明书。</w:t>
      </w:r>
    </w:p>
    <w:p w14:paraId="7534009A">
      <w:pPr>
        <w:spacing w:line="300" w:lineRule="auto"/>
        <w:rPr>
          <w:szCs w:val="21"/>
        </w:rPr>
      </w:pPr>
      <w:r>
        <w:rPr>
          <w:b/>
          <w:szCs w:val="21"/>
        </w:rPr>
        <w:t>6.2.2</w:t>
      </w:r>
      <w:r>
        <w:rPr>
          <w:szCs w:val="21"/>
        </w:rPr>
        <w:t xml:space="preserve">  </w:t>
      </w:r>
      <w:r>
        <w:rPr>
          <w:rFonts w:hAnsi="宋体"/>
          <w:szCs w:val="21"/>
        </w:rPr>
        <w:t>原材料进场后，应按本标准第</w:t>
      </w:r>
      <w:r>
        <w:rPr>
          <w:szCs w:val="21"/>
        </w:rPr>
        <w:t>7.1</w:t>
      </w:r>
      <w:r>
        <w:rPr>
          <w:rFonts w:hAnsi="宋体"/>
          <w:szCs w:val="21"/>
        </w:rPr>
        <w:t>节的规定进行进场检验。</w:t>
      </w:r>
    </w:p>
    <w:p w14:paraId="7534009B">
      <w:pPr>
        <w:spacing w:line="300" w:lineRule="auto"/>
        <w:rPr>
          <w:szCs w:val="21"/>
        </w:rPr>
      </w:pPr>
      <w:r>
        <w:rPr>
          <w:b/>
          <w:szCs w:val="21"/>
        </w:rPr>
        <w:t>6.2.3</w:t>
      </w:r>
      <w:r>
        <w:rPr>
          <w:szCs w:val="21"/>
        </w:rPr>
        <w:t xml:space="preserve">  </w:t>
      </w:r>
      <w:r>
        <w:rPr>
          <w:rFonts w:hAnsi="宋体"/>
          <w:szCs w:val="21"/>
        </w:rPr>
        <w:t>水泥应按不同厂家、不同品种和强度等级分</w:t>
      </w:r>
      <w:r>
        <w:rPr>
          <w:rFonts w:hint="eastAsia" w:hAnsi="宋体"/>
          <w:szCs w:val="21"/>
        </w:rPr>
        <w:t>开</w:t>
      </w:r>
      <w:r>
        <w:rPr>
          <w:rFonts w:hAnsi="宋体"/>
          <w:szCs w:val="21"/>
        </w:rPr>
        <w:t>存储，并应采取防潮措施；出现结块的水泥不得用于混凝土工程；水泥出厂超过</w:t>
      </w:r>
      <w:r>
        <w:rPr>
          <w:szCs w:val="21"/>
        </w:rPr>
        <w:t>3</w:t>
      </w:r>
      <w:r>
        <w:rPr>
          <w:rFonts w:hAnsi="宋体"/>
          <w:szCs w:val="21"/>
        </w:rPr>
        <w:t>个月（硫铝酸盐水泥超过</w:t>
      </w:r>
      <w:r>
        <w:rPr>
          <w:szCs w:val="21"/>
        </w:rPr>
        <w:t>45d</w:t>
      </w:r>
      <w:r>
        <w:rPr>
          <w:rFonts w:hAnsi="宋体"/>
          <w:szCs w:val="21"/>
        </w:rPr>
        <w:t>），应进行复检，</w:t>
      </w:r>
      <w:r>
        <w:rPr>
          <w:rFonts w:hint="eastAsia" w:hAnsi="宋体"/>
          <w:szCs w:val="21"/>
        </w:rPr>
        <w:t>复检项目为进场检验项目，检验结果</w:t>
      </w:r>
      <w:r>
        <w:rPr>
          <w:rFonts w:hAnsi="宋体"/>
          <w:szCs w:val="21"/>
        </w:rPr>
        <w:t>合格者方可使用。</w:t>
      </w:r>
    </w:p>
    <w:p w14:paraId="7534009C">
      <w:pPr>
        <w:spacing w:line="300" w:lineRule="auto"/>
        <w:rPr>
          <w:szCs w:val="21"/>
        </w:rPr>
      </w:pPr>
      <w:r>
        <w:rPr>
          <w:b/>
          <w:szCs w:val="21"/>
        </w:rPr>
        <w:t>6.2.4</w:t>
      </w:r>
      <w:r>
        <w:rPr>
          <w:szCs w:val="21"/>
        </w:rPr>
        <w:t xml:space="preserve">  </w:t>
      </w:r>
      <w:r>
        <w:rPr>
          <w:rFonts w:hAnsi="宋体"/>
          <w:szCs w:val="21"/>
        </w:rPr>
        <w:t>粗、细骨料堆场应有遮雨设施</w:t>
      </w:r>
      <w:r>
        <w:rPr>
          <w:rFonts w:hint="eastAsia" w:hAnsi="宋体"/>
          <w:szCs w:val="21"/>
        </w:rPr>
        <w:t>，并应</w:t>
      </w:r>
      <w:r>
        <w:rPr>
          <w:rFonts w:hAnsi="宋体"/>
          <w:szCs w:val="21"/>
        </w:rPr>
        <w:t>符合有关环境保护的规定；粗、细骨料应按</w:t>
      </w:r>
      <w:r>
        <w:rPr>
          <w:rFonts w:hint="eastAsia" w:hAnsi="宋体"/>
          <w:szCs w:val="21"/>
        </w:rPr>
        <w:t>不同</w:t>
      </w:r>
      <w:r>
        <w:rPr>
          <w:rFonts w:hAnsi="宋体"/>
          <w:szCs w:val="21"/>
        </w:rPr>
        <w:t>品种、规格分别堆放，不得混入杂物。</w:t>
      </w:r>
    </w:p>
    <w:p w14:paraId="7534009D">
      <w:pPr>
        <w:spacing w:line="300" w:lineRule="auto"/>
        <w:rPr>
          <w:rFonts w:hint="eastAsia" w:hAnsi="宋体"/>
          <w:szCs w:val="21"/>
        </w:rPr>
      </w:pPr>
      <w:r>
        <w:rPr>
          <w:b/>
          <w:szCs w:val="21"/>
        </w:rPr>
        <w:t>6.2.5</w:t>
      </w:r>
      <w:r>
        <w:rPr>
          <w:szCs w:val="21"/>
        </w:rPr>
        <w:t xml:space="preserve">  </w:t>
      </w:r>
      <w:r>
        <w:rPr>
          <w:rFonts w:hAnsi="宋体"/>
          <w:szCs w:val="21"/>
        </w:rPr>
        <w:t>矿物掺合料存储时，应有明显标记，不同矿物掺合料以及水泥不得混杂堆放，应防潮防雨</w:t>
      </w:r>
      <w:r>
        <w:rPr>
          <w:rFonts w:hint="eastAsia" w:hAnsi="宋体"/>
          <w:szCs w:val="21"/>
        </w:rPr>
        <w:t>，并应</w:t>
      </w:r>
      <w:r>
        <w:rPr>
          <w:rFonts w:hAnsi="宋体"/>
          <w:szCs w:val="21"/>
        </w:rPr>
        <w:t>符合有关环境保护的规定；</w:t>
      </w:r>
      <w:r>
        <w:rPr>
          <w:rFonts w:hint="eastAsia" w:hAnsi="宋体"/>
          <w:szCs w:val="21"/>
        </w:rPr>
        <w:t>粒化高炉矿渣粉存储期超过</w:t>
      </w:r>
      <w:r>
        <w:rPr>
          <w:rFonts w:hAnsi="宋体"/>
          <w:szCs w:val="21"/>
        </w:rPr>
        <w:t>3</w:t>
      </w:r>
      <w:r>
        <w:rPr>
          <w:rFonts w:hint="eastAsia" w:hAnsi="宋体"/>
          <w:szCs w:val="21"/>
        </w:rPr>
        <w:t>个月或其他</w:t>
      </w:r>
      <w:r>
        <w:rPr>
          <w:rFonts w:hAnsi="宋体"/>
          <w:szCs w:val="21"/>
        </w:rPr>
        <w:t>矿物掺合料存储期超过</w:t>
      </w:r>
      <w:r>
        <w:rPr>
          <w:szCs w:val="21"/>
        </w:rPr>
        <w:t>6</w:t>
      </w:r>
      <w:r>
        <w:rPr>
          <w:rFonts w:hAnsi="宋体"/>
          <w:szCs w:val="21"/>
        </w:rPr>
        <w:t>个月时，应进行复检，</w:t>
      </w:r>
      <w:r>
        <w:rPr>
          <w:rFonts w:hint="eastAsia" w:hAnsi="宋体"/>
          <w:szCs w:val="21"/>
        </w:rPr>
        <w:t>复检项目为进场检验项目，检验结果</w:t>
      </w:r>
      <w:r>
        <w:rPr>
          <w:rFonts w:hAnsi="宋体"/>
          <w:szCs w:val="21"/>
        </w:rPr>
        <w:t>合格者方可使用。</w:t>
      </w:r>
    </w:p>
    <w:p w14:paraId="7534009E">
      <w:pPr>
        <w:spacing w:line="300" w:lineRule="auto"/>
        <w:rPr>
          <w:rFonts w:hint="eastAsia" w:hAnsi="宋体"/>
          <w:szCs w:val="21"/>
        </w:rPr>
      </w:pPr>
      <w:r>
        <w:rPr>
          <w:b/>
          <w:szCs w:val="21"/>
        </w:rPr>
        <w:t>6.2.6</w:t>
      </w:r>
      <w:r>
        <w:rPr>
          <w:szCs w:val="21"/>
        </w:rPr>
        <w:t xml:space="preserve">  </w:t>
      </w:r>
      <w:r>
        <w:rPr>
          <w:rFonts w:hAnsi="宋体"/>
          <w:szCs w:val="21"/>
        </w:rPr>
        <w:t>外加剂的送检样品应与工程大批量进货一致，并应按不同的供货单位、品种和牌号进行标识，单独存放；粉状外加剂应防止受潮结块，如有结块，应进行检验，</w:t>
      </w:r>
      <w:r>
        <w:rPr>
          <w:rFonts w:hint="eastAsia" w:hAnsi="宋体"/>
          <w:szCs w:val="21"/>
        </w:rPr>
        <w:t>检验项目为进场检验项目，检验结果</w:t>
      </w:r>
      <w:r>
        <w:rPr>
          <w:rFonts w:hAnsi="宋体"/>
          <w:szCs w:val="21"/>
        </w:rPr>
        <w:t>合格者应经粉碎至全部通过</w:t>
      </w:r>
      <w:r>
        <w:rPr>
          <w:szCs w:val="21"/>
        </w:rPr>
        <w:t>600</w:t>
      </w:r>
      <w:r>
        <w:rPr>
          <w:rFonts w:hint="eastAsia"/>
          <w:szCs w:val="21"/>
          <w:lang w:eastAsia="zh-CN"/>
        </w:rPr>
        <w:t>μ</w:t>
      </w:r>
      <w:r>
        <w:rPr>
          <w:rFonts w:hint="eastAsia"/>
          <w:szCs w:val="21"/>
          <w:lang w:val="en-US" w:eastAsia="zh-CN"/>
        </w:rPr>
        <w:t>m</w:t>
      </w:r>
      <w:r>
        <w:rPr>
          <w:rFonts w:hAnsi="宋体"/>
          <w:szCs w:val="21"/>
        </w:rPr>
        <w:t>筛孔后方可使用；液态外加剂应</w:t>
      </w:r>
      <w:r>
        <w:rPr>
          <w:rFonts w:hint="eastAsia" w:hAnsi="宋体"/>
          <w:szCs w:val="21"/>
        </w:rPr>
        <w:t>储</w:t>
      </w:r>
      <w:r>
        <w:rPr>
          <w:rFonts w:hAnsi="宋体"/>
          <w:szCs w:val="21"/>
        </w:rPr>
        <w:t>存在密闭容器内，并应防晒和防冻，如有沉淀等异常现象，应</w:t>
      </w:r>
      <w:r>
        <w:rPr>
          <w:rFonts w:hint="eastAsia" w:hAnsi="宋体"/>
          <w:szCs w:val="21"/>
        </w:rPr>
        <w:t>复检进场检验项目，</w:t>
      </w:r>
      <w:r>
        <w:rPr>
          <w:rFonts w:hAnsi="宋体"/>
          <w:szCs w:val="21"/>
        </w:rPr>
        <w:t>检验合格后方可使用。</w:t>
      </w:r>
      <w:r>
        <w:rPr>
          <w:rFonts w:hint="eastAsia" w:hAnsi="宋体"/>
          <w:szCs w:val="21"/>
        </w:rPr>
        <w:t>外加剂</w:t>
      </w:r>
      <w:r>
        <w:rPr>
          <w:rFonts w:hAnsi="宋体"/>
          <w:szCs w:val="21"/>
        </w:rPr>
        <w:t>存储期超过</w:t>
      </w:r>
      <w:r>
        <w:rPr>
          <w:rFonts w:hint="eastAsia"/>
          <w:szCs w:val="21"/>
        </w:rPr>
        <w:t>6</w:t>
      </w:r>
      <w:r>
        <w:rPr>
          <w:rFonts w:hAnsi="宋体"/>
          <w:szCs w:val="21"/>
        </w:rPr>
        <w:t>个月时，应进行复检，</w:t>
      </w:r>
      <w:r>
        <w:rPr>
          <w:rFonts w:hint="eastAsia" w:hAnsi="宋体"/>
          <w:szCs w:val="21"/>
        </w:rPr>
        <w:t>复检项目为进场检验项目，检验结果</w:t>
      </w:r>
      <w:r>
        <w:rPr>
          <w:rFonts w:hAnsi="宋体"/>
          <w:szCs w:val="21"/>
        </w:rPr>
        <w:t>合格者方可使用。</w:t>
      </w:r>
    </w:p>
    <w:p w14:paraId="7534009F">
      <w:pPr>
        <w:spacing w:before="156" w:beforeLines="50" w:after="312" w:afterLines="100" w:line="300" w:lineRule="auto"/>
        <w:jc w:val="center"/>
        <w:outlineLvl w:val="1"/>
        <w:rPr>
          <w:rFonts w:hint="eastAsia" w:hAnsi="宋体"/>
          <w:bCs/>
          <w:sz w:val="24"/>
        </w:rPr>
      </w:pPr>
      <w:bookmarkStart w:id="111" w:name="_Toc269885299"/>
      <w:bookmarkStart w:id="112" w:name="_Toc268678434"/>
      <w:bookmarkStart w:id="113" w:name="_Toc275249818"/>
      <w:bookmarkStart w:id="114" w:name="_Toc268120170"/>
      <w:bookmarkStart w:id="115" w:name="_Toc201943565"/>
      <w:bookmarkStart w:id="116" w:name="_Toc268120044"/>
      <w:r>
        <w:rPr>
          <w:rFonts w:hAnsi="宋体"/>
          <w:bCs/>
          <w:sz w:val="24"/>
        </w:rPr>
        <w:t>6.3</w:t>
      </w:r>
      <w:r>
        <w:rPr>
          <w:rFonts w:hint="eastAsia" w:hAnsi="宋体"/>
          <w:bCs/>
          <w:sz w:val="24"/>
        </w:rPr>
        <w:t xml:space="preserve"> </w:t>
      </w:r>
      <w:r>
        <w:rPr>
          <w:rFonts w:hAnsi="宋体"/>
          <w:bCs/>
          <w:sz w:val="24"/>
        </w:rPr>
        <w:t xml:space="preserve"> 计量</w:t>
      </w:r>
      <w:bookmarkEnd w:id="111"/>
      <w:bookmarkEnd w:id="112"/>
      <w:bookmarkEnd w:id="113"/>
      <w:bookmarkEnd w:id="114"/>
      <w:bookmarkEnd w:id="115"/>
      <w:bookmarkEnd w:id="116"/>
    </w:p>
    <w:p w14:paraId="753400A0">
      <w:pPr>
        <w:spacing w:line="300" w:lineRule="auto"/>
        <w:rPr>
          <w:szCs w:val="21"/>
        </w:rPr>
      </w:pPr>
      <w:r>
        <w:rPr>
          <w:b/>
          <w:szCs w:val="21"/>
        </w:rPr>
        <w:t>6.3.1</w:t>
      </w:r>
      <w:r>
        <w:rPr>
          <w:szCs w:val="21"/>
        </w:rPr>
        <w:t xml:space="preserve">  </w:t>
      </w:r>
      <w:r>
        <w:rPr>
          <w:rFonts w:hAnsi="宋体"/>
        </w:rPr>
        <w:t>原材料计量宜采用电子计量设备。计量设备的精度应</w:t>
      </w:r>
      <w:r>
        <w:rPr>
          <w:rFonts w:hint="eastAsia" w:hAnsi="宋体"/>
        </w:rPr>
        <w:t>符合</w:t>
      </w:r>
      <w:r>
        <w:rPr>
          <w:rFonts w:hAnsi="宋体"/>
        </w:rPr>
        <w:t>现行国家标准</w:t>
      </w:r>
      <w:r>
        <w:rPr>
          <w:rFonts w:hint="eastAsia"/>
        </w:rPr>
        <w:t>《建筑施工机械与设备 混凝土搅拌站（楼）》</w:t>
      </w:r>
      <w:r>
        <w:t>GB/T 10171</w:t>
      </w:r>
      <w:r>
        <w:rPr>
          <w:rFonts w:hAnsi="宋体"/>
        </w:rPr>
        <w:t>的有关规定，应具有法定计量部门签发的</w:t>
      </w:r>
      <w:r>
        <w:rPr>
          <w:rFonts w:hint="eastAsia"/>
        </w:rPr>
        <w:t>有效检定或校准</w:t>
      </w:r>
      <w:r>
        <w:rPr>
          <w:rFonts w:hAnsi="宋体"/>
        </w:rPr>
        <w:t>证书，并应定期校验。混凝土生产单位每月应自检</w:t>
      </w:r>
      <w:r>
        <w:rPr>
          <w:rFonts w:hint="eastAsia" w:hAnsi="宋体"/>
        </w:rPr>
        <w:t>1</w:t>
      </w:r>
      <w:r>
        <w:rPr>
          <w:rFonts w:hAnsi="宋体"/>
        </w:rPr>
        <w:t>次；每一工作班开始前，应对计量设备进行零点校准。</w:t>
      </w:r>
    </w:p>
    <w:p w14:paraId="753400A1">
      <w:pPr>
        <w:spacing w:line="300" w:lineRule="auto"/>
      </w:pPr>
      <w:r>
        <w:rPr>
          <w:b/>
          <w:szCs w:val="21"/>
        </w:rPr>
        <w:t xml:space="preserve">6.3.2 </w:t>
      </w:r>
      <w:r>
        <w:rPr>
          <w:szCs w:val="21"/>
        </w:rPr>
        <w:t xml:space="preserve"> </w:t>
      </w:r>
      <w:r>
        <w:rPr>
          <w:rFonts w:hAnsi="宋体"/>
        </w:rPr>
        <w:t>混凝土原材料计量的允许偏差应符合表</w:t>
      </w:r>
      <w:r>
        <w:t>6.3.2</w:t>
      </w:r>
      <w:r>
        <w:rPr>
          <w:rFonts w:hAnsi="宋体"/>
        </w:rPr>
        <w:t>的规定，原材料计量偏差应每班检查</w:t>
      </w:r>
      <w:r>
        <w:t>1</w:t>
      </w:r>
      <w:r>
        <w:rPr>
          <w:rFonts w:hAnsi="宋体"/>
        </w:rPr>
        <w:t>次。</w:t>
      </w:r>
    </w:p>
    <w:p w14:paraId="753400A2">
      <w:pPr>
        <w:topLinePunct/>
        <w:adjustRightInd w:val="0"/>
        <w:spacing w:before="156" w:beforeLines="50"/>
        <w:jc w:val="center"/>
        <w:rPr>
          <w:rFonts w:hint="eastAsia" w:ascii="黑体" w:hAnsi="宋体" w:eastAsia="黑体"/>
          <w:sz w:val="18"/>
          <w:szCs w:val="18"/>
        </w:rPr>
      </w:pPr>
      <w:bookmarkStart w:id="117" w:name="_Hlk146812862"/>
      <w:r>
        <w:rPr>
          <w:rFonts w:hint="eastAsia" w:ascii="黑体" w:hAnsi="宋体" w:eastAsia="黑体"/>
          <w:sz w:val="18"/>
          <w:szCs w:val="18"/>
        </w:rPr>
        <w:t>表6.3.2 混凝土原材料计量允许偏差</w:t>
      </w:r>
      <w:bookmarkEnd w:id="117"/>
    </w:p>
    <w:tbl>
      <w:tblPr>
        <w:tblStyle w:val="16"/>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433"/>
        <w:gridCol w:w="1069"/>
        <w:gridCol w:w="1318"/>
        <w:gridCol w:w="1127"/>
        <w:gridCol w:w="1319"/>
        <w:gridCol w:w="1256"/>
      </w:tblGrid>
      <w:tr w14:paraId="1FC335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0" w:hRule="atLeast"/>
          <w:jc w:val="center"/>
        </w:trPr>
        <w:tc>
          <w:tcPr>
            <w:tcW w:w="1428" w:type="pct"/>
            <w:shd w:val="clear" w:color="auto" w:fill="FFFFFF"/>
            <w:vAlign w:val="center"/>
          </w:tcPr>
          <w:p w14:paraId="3638DEAA">
            <w:pPr>
              <w:widowControl/>
              <w:ind w:firstLine="180" w:firstLineChars="100"/>
              <w:jc w:val="left"/>
              <w:rPr>
                <w:rFonts w:eastAsia="新宋体"/>
                <w:kern w:val="0"/>
                <w:sz w:val="18"/>
                <w:szCs w:val="18"/>
              </w:rPr>
            </w:pPr>
            <w:r>
              <w:rPr>
                <w:rFonts w:eastAsia="新宋体"/>
                <w:kern w:val="0"/>
                <w:sz w:val="18"/>
                <w:szCs w:val="18"/>
              </w:rPr>
              <w:t>原材料品种</w:t>
            </w:r>
          </w:p>
        </w:tc>
        <w:tc>
          <w:tcPr>
            <w:tcW w:w="627" w:type="pct"/>
            <w:shd w:val="clear" w:color="auto" w:fill="FFFFFF"/>
            <w:vAlign w:val="center"/>
          </w:tcPr>
          <w:p w14:paraId="3EC2F866">
            <w:pPr>
              <w:widowControl/>
              <w:jc w:val="center"/>
              <w:rPr>
                <w:rFonts w:eastAsia="新宋体"/>
                <w:kern w:val="0"/>
                <w:sz w:val="18"/>
                <w:szCs w:val="18"/>
              </w:rPr>
            </w:pPr>
            <w:r>
              <w:rPr>
                <w:rFonts w:eastAsia="新宋体"/>
                <w:kern w:val="0"/>
                <w:sz w:val="18"/>
                <w:szCs w:val="18"/>
              </w:rPr>
              <w:t>水泥</w:t>
            </w:r>
          </w:p>
        </w:tc>
        <w:tc>
          <w:tcPr>
            <w:tcW w:w="773" w:type="pct"/>
            <w:shd w:val="clear" w:color="auto" w:fill="FFFFFF"/>
            <w:vAlign w:val="center"/>
          </w:tcPr>
          <w:p w14:paraId="58C03652">
            <w:pPr>
              <w:widowControl/>
              <w:jc w:val="center"/>
              <w:rPr>
                <w:rFonts w:eastAsia="新宋体"/>
                <w:kern w:val="0"/>
                <w:sz w:val="18"/>
                <w:szCs w:val="18"/>
              </w:rPr>
            </w:pPr>
            <w:r>
              <w:rPr>
                <w:rFonts w:eastAsia="新宋体"/>
                <w:kern w:val="0"/>
                <w:sz w:val="18"/>
                <w:szCs w:val="18"/>
              </w:rPr>
              <w:t>骨料</w:t>
            </w:r>
          </w:p>
        </w:tc>
        <w:tc>
          <w:tcPr>
            <w:tcW w:w="661" w:type="pct"/>
            <w:shd w:val="clear" w:color="auto" w:fill="FFFFFF"/>
            <w:vAlign w:val="center"/>
          </w:tcPr>
          <w:p w14:paraId="60F0DCC0">
            <w:pPr>
              <w:widowControl/>
              <w:jc w:val="center"/>
              <w:rPr>
                <w:rFonts w:eastAsia="新宋体"/>
                <w:kern w:val="0"/>
                <w:sz w:val="18"/>
                <w:szCs w:val="18"/>
              </w:rPr>
            </w:pPr>
            <w:r>
              <w:rPr>
                <w:rFonts w:eastAsia="新宋体"/>
                <w:kern w:val="0"/>
                <w:sz w:val="18"/>
                <w:szCs w:val="18"/>
              </w:rPr>
              <w:t>水</w:t>
            </w:r>
          </w:p>
        </w:tc>
        <w:tc>
          <w:tcPr>
            <w:tcW w:w="774" w:type="pct"/>
            <w:shd w:val="clear" w:color="auto" w:fill="FFFFFF"/>
            <w:vAlign w:val="center"/>
          </w:tcPr>
          <w:p w14:paraId="1351A059">
            <w:pPr>
              <w:widowControl/>
              <w:jc w:val="center"/>
              <w:rPr>
                <w:rFonts w:eastAsia="新宋体"/>
                <w:kern w:val="0"/>
                <w:sz w:val="18"/>
                <w:szCs w:val="18"/>
              </w:rPr>
            </w:pPr>
            <w:r>
              <w:rPr>
                <w:rFonts w:eastAsia="新宋体"/>
                <w:kern w:val="0"/>
                <w:sz w:val="18"/>
                <w:szCs w:val="18"/>
              </w:rPr>
              <w:t>外加剂</w:t>
            </w:r>
          </w:p>
        </w:tc>
        <w:tc>
          <w:tcPr>
            <w:tcW w:w="737" w:type="pct"/>
            <w:shd w:val="clear" w:color="auto" w:fill="FFFFFF"/>
            <w:vAlign w:val="center"/>
          </w:tcPr>
          <w:p w14:paraId="3D812DB4">
            <w:pPr>
              <w:widowControl/>
              <w:jc w:val="center"/>
              <w:rPr>
                <w:rFonts w:eastAsia="新宋体"/>
                <w:kern w:val="0"/>
                <w:sz w:val="18"/>
                <w:szCs w:val="18"/>
              </w:rPr>
            </w:pPr>
            <w:r>
              <w:rPr>
                <w:rFonts w:eastAsia="新宋体"/>
                <w:kern w:val="0"/>
                <w:sz w:val="18"/>
                <w:szCs w:val="18"/>
              </w:rPr>
              <w:t>掺合料</w:t>
            </w:r>
          </w:p>
        </w:tc>
      </w:tr>
      <w:tr w14:paraId="246265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0" w:hRule="atLeast"/>
          <w:jc w:val="center"/>
        </w:trPr>
        <w:tc>
          <w:tcPr>
            <w:tcW w:w="1428" w:type="pct"/>
            <w:shd w:val="clear" w:color="auto" w:fill="FFFFFF"/>
            <w:vAlign w:val="center"/>
          </w:tcPr>
          <w:p w14:paraId="1EDAB5B8">
            <w:pPr>
              <w:widowControl/>
              <w:jc w:val="left"/>
              <w:rPr>
                <w:rFonts w:eastAsia="新宋体"/>
                <w:kern w:val="0"/>
                <w:sz w:val="18"/>
                <w:szCs w:val="18"/>
              </w:rPr>
            </w:pPr>
            <w:bookmarkStart w:id="118" w:name="_Hlk146813076"/>
            <w:r>
              <w:rPr>
                <w:rFonts w:eastAsia="新宋体"/>
                <w:kern w:val="0"/>
                <w:sz w:val="18"/>
                <w:szCs w:val="18"/>
              </w:rPr>
              <w:t>每盘计量允许偏差</w:t>
            </w:r>
            <w:bookmarkEnd w:id="118"/>
            <w:r>
              <w:rPr>
                <w:rFonts w:hint="eastAsia" w:eastAsia="新宋体"/>
                <w:kern w:val="0"/>
                <w:sz w:val="18"/>
                <w:szCs w:val="18"/>
              </w:rPr>
              <w:t>（%）</w:t>
            </w:r>
          </w:p>
        </w:tc>
        <w:tc>
          <w:tcPr>
            <w:tcW w:w="627" w:type="pct"/>
            <w:shd w:val="clear" w:color="auto" w:fill="FFFFFF"/>
            <w:vAlign w:val="center"/>
          </w:tcPr>
          <w:p w14:paraId="477A0F30">
            <w:pPr>
              <w:widowControl/>
              <w:jc w:val="center"/>
              <w:rPr>
                <w:rFonts w:eastAsia="新宋体"/>
                <w:kern w:val="0"/>
                <w:sz w:val="18"/>
                <w:szCs w:val="18"/>
              </w:rPr>
            </w:pPr>
            <w:r>
              <w:rPr>
                <w:rFonts w:eastAsia="新宋体"/>
                <w:kern w:val="0"/>
                <w:sz w:val="18"/>
                <w:szCs w:val="18"/>
              </w:rPr>
              <w:t>±2</w:t>
            </w:r>
          </w:p>
        </w:tc>
        <w:tc>
          <w:tcPr>
            <w:tcW w:w="773" w:type="pct"/>
            <w:shd w:val="clear" w:color="auto" w:fill="FFFFFF"/>
            <w:vAlign w:val="center"/>
          </w:tcPr>
          <w:p w14:paraId="30A578E2">
            <w:pPr>
              <w:widowControl/>
              <w:jc w:val="center"/>
              <w:rPr>
                <w:rFonts w:eastAsia="新宋体"/>
                <w:kern w:val="0"/>
                <w:sz w:val="18"/>
                <w:szCs w:val="18"/>
              </w:rPr>
            </w:pPr>
            <w:r>
              <w:rPr>
                <w:rFonts w:eastAsia="新宋体"/>
                <w:kern w:val="0"/>
                <w:sz w:val="18"/>
                <w:szCs w:val="18"/>
              </w:rPr>
              <w:t>±3</w:t>
            </w:r>
          </w:p>
        </w:tc>
        <w:tc>
          <w:tcPr>
            <w:tcW w:w="661" w:type="pct"/>
            <w:shd w:val="clear" w:color="auto" w:fill="FFFFFF"/>
            <w:vAlign w:val="center"/>
          </w:tcPr>
          <w:p w14:paraId="571B44C6">
            <w:pPr>
              <w:widowControl/>
              <w:jc w:val="center"/>
              <w:rPr>
                <w:rFonts w:eastAsia="新宋体"/>
                <w:kern w:val="0"/>
                <w:sz w:val="18"/>
                <w:szCs w:val="18"/>
              </w:rPr>
            </w:pPr>
            <w:r>
              <w:rPr>
                <w:rFonts w:eastAsia="新宋体"/>
                <w:kern w:val="0"/>
                <w:sz w:val="18"/>
                <w:szCs w:val="18"/>
              </w:rPr>
              <w:t>±1</w:t>
            </w:r>
          </w:p>
        </w:tc>
        <w:tc>
          <w:tcPr>
            <w:tcW w:w="774" w:type="pct"/>
            <w:shd w:val="clear" w:color="auto" w:fill="FFFFFF"/>
            <w:vAlign w:val="center"/>
          </w:tcPr>
          <w:p w14:paraId="4C2A557E">
            <w:pPr>
              <w:widowControl/>
              <w:jc w:val="center"/>
              <w:rPr>
                <w:rFonts w:eastAsia="新宋体"/>
                <w:kern w:val="0"/>
                <w:sz w:val="18"/>
                <w:szCs w:val="18"/>
              </w:rPr>
            </w:pPr>
            <w:r>
              <w:rPr>
                <w:rFonts w:eastAsia="新宋体"/>
                <w:kern w:val="0"/>
                <w:sz w:val="18"/>
                <w:szCs w:val="18"/>
              </w:rPr>
              <w:t>±1</w:t>
            </w:r>
          </w:p>
        </w:tc>
        <w:tc>
          <w:tcPr>
            <w:tcW w:w="737" w:type="pct"/>
            <w:shd w:val="clear" w:color="auto" w:fill="FFFFFF"/>
            <w:vAlign w:val="center"/>
          </w:tcPr>
          <w:p w14:paraId="0F1E9C64">
            <w:pPr>
              <w:widowControl/>
              <w:jc w:val="center"/>
              <w:rPr>
                <w:rFonts w:eastAsia="新宋体"/>
                <w:kern w:val="0"/>
                <w:sz w:val="18"/>
                <w:szCs w:val="18"/>
              </w:rPr>
            </w:pPr>
            <w:r>
              <w:rPr>
                <w:rFonts w:eastAsia="新宋体"/>
                <w:kern w:val="0"/>
                <w:sz w:val="18"/>
                <w:szCs w:val="18"/>
              </w:rPr>
              <w:t>±2</w:t>
            </w:r>
          </w:p>
        </w:tc>
      </w:tr>
      <w:tr w14:paraId="7ADB31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6" w:hRule="atLeast"/>
          <w:jc w:val="center"/>
        </w:trPr>
        <w:tc>
          <w:tcPr>
            <w:tcW w:w="1428" w:type="pct"/>
            <w:shd w:val="clear" w:color="auto" w:fill="FFFFFF"/>
            <w:vAlign w:val="center"/>
          </w:tcPr>
          <w:p w14:paraId="6DCD2F78">
            <w:pPr>
              <w:widowControl/>
              <w:jc w:val="left"/>
              <w:rPr>
                <w:rFonts w:eastAsia="新宋体"/>
                <w:kern w:val="0"/>
                <w:sz w:val="18"/>
                <w:szCs w:val="18"/>
              </w:rPr>
            </w:pPr>
            <w:bookmarkStart w:id="119" w:name="_Hlk146813097"/>
            <w:r>
              <w:rPr>
                <w:rFonts w:eastAsia="新宋体"/>
                <w:kern w:val="0"/>
                <w:sz w:val="18"/>
                <w:szCs w:val="18"/>
              </w:rPr>
              <w:t>累计计量允许偏差</w:t>
            </w:r>
            <w:bookmarkEnd w:id="119"/>
            <w:r>
              <w:rPr>
                <w:rFonts w:hint="eastAsia" w:eastAsia="新宋体"/>
                <w:kern w:val="0"/>
                <w:sz w:val="18"/>
                <w:szCs w:val="18"/>
              </w:rPr>
              <w:t>（%）</w:t>
            </w:r>
          </w:p>
        </w:tc>
        <w:tc>
          <w:tcPr>
            <w:tcW w:w="627" w:type="pct"/>
            <w:shd w:val="clear" w:color="auto" w:fill="FFFFFF"/>
            <w:vAlign w:val="center"/>
          </w:tcPr>
          <w:p w14:paraId="73A3020E">
            <w:pPr>
              <w:widowControl/>
              <w:jc w:val="center"/>
              <w:rPr>
                <w:rFonts w:eastAsia="新宋体"/>
                <w:kern w:val="0"/>
                <w:sz w:val="18"/>
                <w:szCs w:val="18"/>
              </w:rPr>
            </w:pPr>
            <w:r>
              <w:rPr>
                <w:rFonts w:eastAsia="新宋体"/>
                <w:kern w:val="0"/>
                <w:sz w:val="18"/>
                <w:szCs w:val="18"/>
              </w:rPr>
              <w:t>±1</w:t>
            </w:r>
          </w:p>
        </w:tc>
        <w:tc>
          <w:tcPr>
            <w:tcW w:w="773" w:type="pct"/>
            <w:shd w:val="clear" w:color="auto" w:fill="FFFFFF"/>
            <w:vAlign w:val="center"/>
          </w:tcPr>
          <w:p w14:paraId="4F92CFD7">
            <w:pPr>
              <w:widowControl/>
              <w:jc w:val="center"/>
              <w:rPr>
                <w:rFonts w:eastAsia="新宋体"/>
                <w:kern w:val="0"/>
                <w:sz w:val="18"/>
                <w:szCs w:val="18"/>
              </w:rPr>
            </w:pPr>
            <w:r>
              <w:rPr>
                <w:rFonts w:eastAsia="新宋体"/>
                <w:kern w:val="0"/>
                <w:sz w:val="18"/>
                <w:szCs w:val="18"/>
              </w:rPr>
              <w:t>±2</w:t>
            </w:r>
          </w:p>
        </w:tc>
        <w:tc>
          <w:tcPr>
            <w:tcW w:w="661" w:type="pct"/>
            <w:shd w:val="clear" w:color="auto" w:fill="FFFFFF"/>
            <w:vAlign w:val="center"/>
          </w:tcPr>
          <w:p w14:paraId="4E3C5594">
            <w:pPr>
              <w:widowControl/>
              <w:jc w:val="center"/>
              <w:rPr>
                <w:rFonts w:eastAsia="新宋体"/>
                <w:kern w:val="0"/>
                <w:sz w:val="18"/>
                <w:szCs w:val="18"/>
              </w:rPr>
            </w:pPr>
            <w:r>
              <w:rPr>
                <w:rFonts w:eastAsia="新宋体"/>
                <w:kern w:val="0"/>
                <w:sz w:val="18"/>
                <w:szCs w:val="18"/>
              </w:rPr>
              <w:t>±1</w:t>
            </w:r>
          </w:p>
        </w:tc>
        <w:tc>
          <w:tcPr>
            <w:tcW w:w="774" w:type="pct"/>
            <w:shd w:val="clear" w:color="auto" w:fill="FFFFFF"/>
            <w:vAlign w:val="center"/>
          </w:tcPr>
          <w:p w14:paraId="7BABECDF">
            <w:pPr>
              <w:widowControl/>
              <w:jc w:val="center"/>
              <w:rPr>
                <w:rFonts w:eastAsia="新宋体"/>
                <w:kern w:val="0"/>
                <w:sz w:val="18"/>
                <w:szCs w:val="18"/>
              </w:rPr>
            </w:pPr>
            <w:r>
              <w:rPr>
                <w:rFonts w:eastAsia="新宋体"/>
                <w:kern w:val="0"/>
                <w:sz w:val="18"/>
                <w:szCs w:val="18"/>
              </w:rPr>
              <w:t>±1</w:t>
            </w:r>
          </w:p>
        </w:tc>
        <w:tc>
          <w:tcPr>
            <w:tcW w:w="737" w:type="pct"/>
            <w:shd w:val="clear" w:color="auto" w:fill="FFFFFF"/>
            <w:vAlign w:val="center"/>
          </w:tcPr>
          <w:p w14:paraId="0DAB2C9D">
            <w:pPr>
              <w:widowControl/>
              <w:jc w:val="center"/>
              <w:rPr>
                <w:rFonts w:eastAsia="新宋体"/>
                <w:kern w:val="0"/>
                <w:sz w:val="18"/>
                <w:szCs w:val="18"/>
              </w:rPr>
            </w:pPr>
            <w:r>
              <w:rPr>
                <w:rFonts w:eastAsia="新宋体"/>
                <w:kern w:val="0"/>
                <w:sz w:val="18"/>
                <w:szCs w:val="18"/>
              </w:rPr>
              <w:t>±1</w:t>
            </w:r>
          </w:p>
        </w:tc>
      </w:tr>
      <w:tr w14:paraId="1339F0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6" w:hRule="atLeast"/>
          <w:jc w:val="center"/>
        </w:trPr>
        <w:tc>
          <w:tcPr>
            <w:tcW w:w="5000" w:type="pct"/>
            <w:gridSpan w:val="6"/>
            <w:shd w:val="clear" w:color="auto" w:fill="FFFFFF"/>
            <w:vAlign w:val="center"/>
          </w:tcPr>
          <w:p w14:paraId="46039A0E">
            <w:pPr>
              <w:rPr>
                <w:b/>
                <w:szCs w:val="21"/>
              </w:rPr>
            </w:pPr>
            <w:r>
              <w:rPr>
                <w:rFonts w:hint="eastAsia" w:eastAsia="新宋体"/>
                <w:kern w:val="0"/>
                <w:sz w:val="18"/>
                <w:szCs w:val="18"/>
              </w:rPr>
              <w:t>注：</w:t>
            </w:r>
            <w:r>
              <w:rPr>
                <w:rFonts w:eastAsia="新宋体"/>
                <w:kern w:val="0"/>
                <w:sz w:val="18"/>
                <w:szCs w:val="18"/>
              </w:rPr>
              <w:t>累计计量允许偏差是指每一运输车中各盘混凝土的每种材料计量和的偏差。</w:t>
            </w:r>
          </w:p>
        </w:tc>
      </w:tr>
    </w:tbl>
    <w:p w14:paraId="753400BB">
      <w:pPr>
        <w:spacing w:line="300" w:lineRule="auto"/>
        <w:rPr>
          <w:kern w:val="0"/>
          <w:szCs w:val="21"/>
        </w:rPr>
      </w:pPr>
      <w:r>
        <w:rPr>
          <w:b/>
          <w:szCs w:val="21"/>
        </w:rPr>
        <w:t>6.3.3</w:t>
      </w:r>
      <w:r>
        <w:rPr>
          <w:szCs w:val="21"/>
        </w:rPr>
        <w:t xml:space="preserve">  </w:t>
      </w:r>
      <w:r>
        <w:rPr>
          <w:rFonts w:hAnsi="宋体"/>
          <w:szCs w:val="21"/>
        </w:rPr>
        <w:t>对于原材料计量，应根据粗、细</w:t>
      </w:r>
      <w:r>
        <w:rPr>
          <w:rFonts w:hAnsi="宋体"/>
          <w:kern w:val="0"/>
          <w:szCs w:val="21"/>
        </w:rPr>
        <w:t>骨料含水率的变化，及时调整</w:t>
      </w:r>
      <w:r>
        <w:rPr>
          <w:rFonts w:hAnsi="宋体"/>
          <w:szCs w:val="21"/>
        </w:rPr>
        <w:t>粗、细</w:t>
      </w:r>
      <w:r>
        <w:rPr>
          <w:rFonts w:hAnsi="宋体"/>
          <w:kern w:val="0"/>
          <w:szCs w:val="21"/>
        </w:rPr>
        <w:t>骨料和拌合用水</w:t>
      </w:r>
      <w:r>
        <w:rPr>
          <w:rFonts w:hAnsi="宋体"/>
          <w:szCs w:val="21"/>
        </w:rPr>
        <w:t>的称量</w:t>
      </w:r>
      <w:r>
        <w:rPr>
          <w:rFonts w:hAnsi="宋体"/>
          <w:kern w:val="0"/>
          <w:szCs w:val="21"/>
        </w:rPr>
        <w:t>。</w:t>
      </w:r>
    </w:p>
    <w:p w14:paraId="753400BC">
      <w:pPr>
        <w:spacing w:before="156" w:beforeLines="50" w:after="312" w:afterLines="100" w:line="300" w:lineRule="auto"/>
        <w:jc w:val="center"/>
        <w:outlineLvl w:val="1"/>
        <w:rPr>
          <w:rFonts w:hint="eastAsia" w:hAnsi="宋体"/>
          <w:bCs/>
          <w:sz w:val="24"/>
        </w:rPr>
      </w:pPr>
      <w:bookmarkStart w:id="120" w:name="_Toc268120171"/>
      <w:bookmarkStart w:id="121" w:name="_Toc201943566"/>
      <w:bookmarkStart w:id="122" w:name="_Toc268678435"/>
      <w:bookmarkStart w:id="123" w:name="_Toc269885300"/>
      <w:bookmarkStart w:id="124" w:name="_Toc275249819"/>
      <w:bookmarkStart w:id="125" w:name="_Toc268120045"/>
      <w:r>
        <w:rPr>
          <w:rFonts w:hAnsi="宋体"/>
          <w:bCs/>
          <w:sz w:val="24"/>
        </w:rPr>
        <w:t>6.4</w:t>
      </w:r>
      <w:r>
        <w:rPr>
          <w:rFonts w:hint="eastAsia" w:hAnsi="宋体"/>
          <w:bCs/>
          <w:sz w:val="24"/>
        </w:rPr>
        <w:t xml:space="preserve"> </w:t>
      </w:r>
      <w:r>
        <w:rPr>
          <w:rFonts w:hAnsi="宋体"/>
          <w:bCs/>
          <w:sz w:val="24"/>
        </w:rPr>
        <w:t xml:space="preserve"> 搅拌</w:t>
      </w:r>
      <w:bookmarkEnd w:id="120"/>
      <w:bookmarkEnd w:id="121"/>
      <w:bookmarkEnd w:id="122"/>
      <w:bookmarkEnd w:id="123"/>
      <w:bookmarkEnd w:id="124"/>
      <w:bookmarkEnd w:id="125"/>
    </w:p>
    <w:p w14:paraId="753400BD">
      <w:pPr>
        <w:spacing w:line="300" w:lineRule="auto"/>
        <w:rPr>
          <w:szCs w:val="21"/>
        </w:rPr>
      </w:pPr>
      <w:r>
        <w:rPr>
          <w:b/>
          <w:szCs w:val="21"/>
        </w:rPr>
        <w:t xml:space="preserve">6.4.1 </w:t>
      </w:r>
      <w:r>
        <w:rPr>
          <w:szCs w:val="21"/>
        </w:rPr>
        <w:t xml:space="preserve"> </w:t>
      </w:r>
      <w:bookmarkStart w:id="126" w:name="_Hlk164023471"/>
      <w:r>
        <w:t>搅拌</w:t>
      </w:r>
      <w:r>
        <w:rPr>
          <w:szCs w:val="21"/>
        </w:rPr>
        <w:t>机型式</w:t>
      </w:r>
      <w:bookmarkEnd w:id="126"/>
      <w:r>
        <w:rPr>
          <w:rFonts w:hint="eastAsia"/>
          <w:szCs w:val="21"/>
        </w:rPr>
        <w:t>应</w:t>
      </w:r>
      <w:r>
        <w:rPr>
          <w:szCs w:val="21"/>
        </w:rPr>
        <w:t>为强制式</w:t>
      </w:r>
      <w:r>
        <w:t>，并</w:t>
      </w:r>
      <w:r>
        <w:rPr>
          <w:szCs w:val="21"/>
        </w:rPr>
        <w:t>应符合</w:t>
      </w:r>
      <w:r>
        <w:rPr>
          <w:rFonts w:hAnsi="宋体"/>
        </w:rPr>
        <w:t>现行国家标准</w:t>
      </w:r>
      <w:r>
        <w:rPr>
          <w:rFonts w:hint="eastAsia"/>
        </w:rPr>
        <w:t>《建筑施工机械与设备 混凝土搅拌站（楼）》</w:t>
      </w:r>
      <w:r>
        <w:t>GB/T 10171</w:t>
      </w:r>
      <w:r>
        <w:rPr>
          <w:szCs w:val="21"/>
        </w:rPr>
        <w:t>的有关规定</w:t>
      </w:r>
      <w:r>
        <w:rPr>
          <w:rFonts w:hint="eastAsia"/>
          <w:szCs w:val="21"/>
        </w:rPr>
        <w:t>，</w:t>
      </w:r>
      <w:bookmarkStart w:id="127" w:name="_Hlk146813135"/>
      <w:bookmarkStart w:id="128" w:name="_Hlk164023490"/>
      <w:r>
        <w:rPr>
          <w:rFonts w:hint="eastAsia"/>
          <w:szCs w:val="21"/>
        </w:rPr>
        <w:t>也可采用</w:t>
      </w:r>
      <w:bookmarkEnd w:id="127"/>
      <w:r>
        <w:rPr>
          <w:rFonts w:hint="eastAsia"/>
          <w:szCs w:val="21"/>
        </w:rPr>
        <w:t>具有振动搅拌功能的搅拌机</w:t>
      </w:r>
      <w:bookmarkEnd w:id="128"/>
      <w:r>
        <w:rPr>
          <w:szCs w:val="21"/>
        </w:rPr>
        <w:t>。</w:t>
      </w:r>
    </w:p>
    <w:p w14:paraId="753400BE">
      <w:pPr>
        <w:spacing w:line="300" w:lineRule="auto"/>
        <w:rPr>
          <w:szCs w:val="21"/>
        </w:rPr>
      </w:pPr>
      <w:r>
        <w:rPr>
          <w:b/>
          <w:szCs w:val="21"/>
        </w:rPr>
        <w:t>6.4.2</w:t>
      </w:r>
      <w:r>
        <w:rPr>
          <w:szCs w:val="21"/>
        </w:rPr>
        <w:t xml:space="preserve">  </w:t>
      </w:r>
      <w:r>
        <w:rPr>
          <w:rFonts w:hAnsi="宋体"/>
          <w:szCs w:val="21"/>
        </w:rPr>
        <w:t>原材料投料方式应满足混凝土搅拌技术要求和混凝土拌合物质量要求。</w:t>
      </w:r>
    </w:p>
    <w:p w14:paraId="753400BF">
      <w:pPr>
        <w:spacing w:line="300" w:lineRule="auto"/>
        <w:rPr>
          <w:szCs w:val="21"/>
        </w:rPr>
      </w:pPr>
      <w:r>
        <w:rPr>
          <w:b/>
          <w:szCs w:val="21"/>
        </w:rPr>
        <w:t>6.4.</w:t>
      </w:r>
      <w:r>
        <w:rPr>
          <w:rFonts w:hint="eastAsia"/>
          <w:b/>
          <w:szCs w:val="21"/>
        </w:rPr>
        <w:t>3</w:t>
      </w:r>
      <w:r>
        <w:rPr>
          <w:b/>
          <w:szCs w:val="21"/>
        </w:rPr>
        <w:t xml:space="preserve"> </w:t>
      </w:r>
      <w:r>
        <w:rPr>
          <w:szCs w:val="21"/>
        </w:rPr>
        <w:t xml:space="preserve"> </w:t>
      </w:r>
      <w:r>
        <w:rPr>
          <w:rFonts w:hint="eastAsia"/>
          <w:szCs w:val="21"/>
        </w:rPr>
        <w:t>根据搅拌匀质性确定混凝土最短搅拌时间，</w:t>
      </w:r>
      <w:r>
        <w:rPr>
          <w:rFonts w:hAnsi="宋体"/>
          <w:szCs w:val="21"/>
        </w:rPr>
        <w:t>同一盘混凝土的搅拌匀质性应符合下列规定：</w:t>
      </w:r>
    </w:p>
    <w:p w14:paraId="753400C0">
      <w:pPr>
        <w:spacing w:line="300" w:lineRule="auto"/>
        <w:ind w:firstLine="525" w:firstLineChars="250"/>
        <w:rPr>
          <w:szCs w:val="21"/>
        </w:rPr>
      </w:pPr>
      <w:r>
        <w:rPr>
          <w:szCs w:val="21"/>
        </w:rPr>
        <w:t>1</w:t>
      </w:r>
      <w:r>
        <w:rPr>
          <w:rFonts w:hint="eastAsia"/>
          <w:szCs w:val="21"/>
        </w:rPr>
        <w:t xml:space="preserve"> </w:t>
      </w:r>
      <w:r>
        <w:rPr>
          <w:rFonts w:hAnsi="宋体"/>
          <w:szCs w:val="21"/>
        </w:rPr>
        <w:t>混凝土中砂浆密度两次测值的相对误差不应大于</w:t>
      </w:r>
      <w:r>
        <w:rPr>
          <w:szCs w:val="21"/>
        </w:rPr>
        <w:t>0.8%</w:t>
      </w:r>
      <w:r>
        <w:rPr>
          <w:rFonts w:hint="eastAsia" w:hAnsi="宋体"/>
          <w:szCs w:val="21"/>
        </w:rPr>
        <w:t>。</w:t>
      </w:r>
    </w:p>
    <w:p w14:paraId="753400C1">
      <w:pPr>
        <w:spacing w:line="300" w:lineRule="auto"/>
        <w:ind w:firstLine="495"/>
        <w:rPr>
          <w:rFonts w:hint="eastAsia" w:hAnsi="宋体"/>
          <w:szCs w:val="21"/>
        </w:rPr>
      </w:pPr>
      <w:r>
        <w:rPr>
          <w:szCs w:val="21"/>
        </w:rPr>
        <w:t>2</w:t>
      </w:r>
      <w:r>
        <w:rPr>
          <w:rFonts w:hint="eastAsia"/>
          <w:szCs w:val="21"/>
        </w:rPr>
        <w:t xml:space="preserve"> </w:t>
      </w:r>
      <w:r>
        <w:rPr>
          <w:rFonts w:hAnsi="宋体"/>
          <w:szCs w:val="21"/>
        </w:rPr>
        <w:t>混凝土稠度两次测值的差值不应大于表</w:t>
      </w:r>
      <w:r>
        <w:rPr>
          <w:szCs w:val="21"/>
        </w:rPr>
        <w:t>3.1.2-4</w:t>
      </w:r>
      <w:r>
        <w:rPr>
          <w:rFonts w:hAnsi="宋体"/>
          <w:szCs w:val="21"/>
        </w:rPr>
        <w:t>规定的混凝土拌合物稠度允许偏差的绝对值。</w:t>
      </w:r>
    </w:p>
    <w:p w14:paraId="753400C2">
      <w:pPr>
        <w:spacing w:line="300" w:lineRule="auto"/>
        <w:rPr>
          <w:szCs w:val="21"/>
        </w:rPr>
      </w:pPr>
      <w:r>
        <w:rPr>
          <w:b/>
          <w:szCs w:val="21"/>
        </w:rPr>
        <w:t>6.4.</w:t>
      </w:r>
      <w:r>
        <w:rPr>
          <w:rFonts w:hint="eastAsia"/>
          <w:b/>
          <w:szCs w:val="21"/>
        </w:rPr>
        <w:t>4</w:t>
      </w:r>
      <w:r>
        <w:rPr>
          <w:szCs w:val="21"/>
        </w:rPr>
        <w:t xml:space="preserve"> </w:t>
      </w:r>
      <w:r>
        <w:t xml:space="preserve"> 混凝土</w:t>
      </w:r>
      <w:r>
        <w:rPr>
          <w:rFonts w:hint="eastAsia"/>
        </w:rPr>
        <w:t>搅拌的最短时间应保证混凝土拌合物搅拌均匀；当搅拌高强混凝土或</w:t>
      </w:r>
      <w:r>
        <w:t>冬期施工</w:t>
      </w:r>
      <w:r>
        <w:rPr>
          <w:rFonts w:hint="eastAsia"/>
        </w:rPr>
        <w:t>时，搅拌时间应适当延长。</w:t>
      </w:r>
    </w:p>
    <w:p w14:paraId="753400C3">
      <w:pPr>
        <w:spacing w:line="300" w:lineRule="auto"/>
        <w:rPr>
          <w:szCs w:val="21"/>
        </w:rPr>
      </w:pPr>
      <w:r>
        <w:rPr>
          <w:b/>
          <w:szCs w:val="21"/>
        </w:rPr>
        <w:t xml:space="preserve">6.4.5 </w:t>
      </w:r>
      <w:r>
        <w:rPr>
          <w:szCs w:val="21"/>
        </w:rPr>
        <w:t xml:space="preserve"> </w:t>
      </w:r>
      <w:r>
        <w:rPr>
          <w:rFonts w:hAnsi="宋体"/>
          <w:szCs w:val="21"/>
        </w:rPr>
        <w:t>冬期施工搅拌混凝土时，宜采用加热水的方法提高拌合物温度，也可同时采用加热骨料的方法提高拌合物温度。当拌合用水和骨料加热时，拌合用水和骨料的</w:t>
      </w:r>
      <w:r>
        <w:rPr>
          <w:rFonts w:hint="eastAsia" w:hAnsi="宋体"/>
          <w:szCs w:val="21"/>
        </w:rPr>
        <w:t>最高</w:t>
      </w:r>
      <w:r>
        <w:rPr>
          <w:rFonts w:hAnsi="宋体"/>
          <w:szCs w:val="21"/>
        </w:rPr>
        <w:t>加热温度不</w:t>
      </w:r>
      <w:r>
        <w:rPr>
          <w:rFonts w:hint="eastAsia" w:hAnsi="宋体"/>
          <w:szCs w:val="21"/>
        </w:rPr>
        <w:t>应</w:t>
      </w:r>
      <w:r>
        <w:rPr>
          <w:rFonts w:hAnsi="宋体"/>
          <w:szCs w:val="21"/>
        </w:rPr>
        <w:t>超过表</w:t>
      </w:r>
      <w:r>
        <w:rPr>
          <w:szCs w:val="21"/>
        </w:rPr>
        <w:t>6.4.5</w:t>
      </w:r>
      <w:r>
        <w:rPr>
          <w:rFonts w:hAnsi="宋体"/>
          <w:szCs w:val="21"/>
        </w:rPr>
        <w:t>的规定</w:t>
      </w:r>
      <w:r>
        <w:rPr>
          <w:rFonts w:hint="eastAsia" w:hAnsi="宋体"/>
          <w:szCs w:val="21"/>
        </w:rPr>
        <w:t>；</w:t>
      </w:r>
      <w:r>
        <w:rPr>
          <w:rFonts w:hAnsi="宋体"/>
          <w:szCs w:val="21"/>
        </w:rPr>
        <w:t>当骨料不加热时，拌合用水可加热到</w:t>
      </w:r>
      <w:r>
        <w:rPr>
          <w:szCs w:val="21"/>
        </w:rPr>
        <w:t>60</w:t>
      </w:r>
      <w:r>
        <w:rPr>
          <w:rFonts w:hAnsi="宋体"/>
          <w:szCs w:val="21"/>
        </w:rPr>
        <w:t>℃以上。应先投入骨料和热水进行搅拌，然后再投入胶凝材料等共同搅拌。</w:t>
      </w:r>
      <w:r>
        <w:rPr>
          <w:rFonts w:hint="eastAsia" w:hAnsi="宋体"/>
          <w:szCs w:val="21"/>
        </w:rPr>
        <w:t>炎热季节施工时，应采取遮阳、喷淋、风冷等措施降低骨料温度；搅拌混凝土时可采用冷水或掺加冰屑降低拌合物温度。</w:t>
      </w:r>
    </w:p>
    <w:p w14:paraId="753400C4">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表6.4.5  拌合用水和骨料的最高加热温度（℃）</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8"/>
        <w:gridCol w:w="2160"/>
        <w:gridCol w:w="2114"/>
      </w:tblGrid>
      <w:tr w14:paraId="7534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92" w:type="pct"/>
            <w:vAlign w:val="center"/>
          </w:tcPr>
          <w:p w14:paraId="753400C5">
            <w:pPr>
              <w:jc w:val="center"/>
              <w:rPr>
                <w:sz w:val="18"/>
                <w:szCs w:val="18"/>
              </w:rPr>
            </w:pPr>
            <w:r>
              <w:rPr>
                <w:rFonts w:hAnsi="宋体"/>
                <w:sz w:val="18"/>
                <w:szCs w:val="18"/>
              </w:rPr>
              <w:t>采用的水泥品种</w:t>
            </w:r>
          </w:p>
        </w:tc>
        <w:tc>
          <w:tcPr>
            <w:tcW w:w="1267" w:type="pct"/>
            <w:vAlign w:val="center"/>
          </w:tcPr>
          <w:p w14:paraId="753400C6">
            <w:pPr>
              <w:jc w:val="center"/>
              <w:rPr>
                <w:sz w:val="18"/>
                <w:szCs w:val="18"/>
              </w:rPr>
            </w:pPr>
            <w:r>
              <w:rPr>
                <w:rFonts w:hAnsi="宋体"/>
                <w:sz w:val="18"/>
                <w:szCs w:val="18"/>
              </w:rPr>
              <w:t>拌合用水</w:t>
            </w:r>
          </w:p>
        </w:tc>
        <w:tc>
          <w:tcPr>
            <w:tcW w:w="1240" w:type="pct"/>
            <w:vAlign w:val="center"/>
          </w:tcPr>
          <w:p w14:paraId="753400C7">
            <w:pPr>
              <w:jc w:val="center"/>
              <w:rPr>
                <w:sz w:val="18"/>
                <w:szCs w:val="18"/>
              </w:rPr>
            </w:pPr>
            <w:r>
              <w:rPr>
                <w:rFonts w:hAnsi="宋体"/>
                <w:sz w:val="18"/>
                <w:szCs w:val="18"/>
              </w:rPr>
              <w:t>骨料</w:t>
            </w:r>
          </w:p>
        </w:tc>
      </w:tr>
      <w:tr w14:paraId="7534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92" w:type="pct"/>
            <w:vAlign w:val="center"/>
          </w:tcPr>
          <w:p w14:paraId="753400C9">
            <w:pPr>
              <w:jc w:val="center"/>
              <w:rPr>
                <w:sz w:val="18"/>
                <w:szCs w:val="18"/>
              </w:rPr>
            </w:pPr>
            <w:r>
              <w:rPr>
                <w:rFonts w:hAnsi="宋体"/>
                <w:sz w:val="18"/>
                <w:szCs w:val="18"/>
              </w:rPr>
              <w:t>硅酸盐水泥和普通硅酸盐水泥</w:t>
            </w:r>
          </w:p>
        </w:tc>
        <w:tc>
          <w:tcPr>
            <w:tcW w:w="1267" w:type="pct"/>
            <w:vAlign w:val="center"/>
          </w:tcPr>
          <w:p w14:paraId="753400CA">
            <w:pPr>
              <w:jc w:val="center"/>
              <w:rPr>
                <w:sz w:val="18"/>
                <w:szCs w:val="18"/>
              </w:rPr>
            </w:pPr>
            <w:r>
              <w:rPr>
                <w:sz w:val="18"/>
                <w:szCs w:val="18"/>
              </w:rPr>
              <w:t>60</w:t>
            </w:r>
          </w:p>
        </w:tc>
        <w:tc>
          <w:tcPr>
            <w:tcW w:w="1240" w:type="pct"/>
            <w:vAlign w:val="center"/>
          </w:tcPr>
          <w:p w14:paraId="753400CB">
            <w:pPr>
              <w:jc w:val="center"/>
              <w:rPr>
                <w:sz w:val="18"/>
                <w:szCs w:val="18"/>
              </w:rPr>
            </w:pPr>
            <w:r>
              <w:rPr>
                <w:sz w:val="18"/>
                <w:szCs w:val="18"/>
              </w:rPr>
              <w:t>40</w:t>
            </w:r>
          </w:p>
        </w:tc>
      </w:tr>
    </w:tbl>
    <w:p w14:paraId="753400CD">
      <w:pPr>
        <w:spacing w:before="156" w:beforeLines="50" w:after="312" w:afterLines="100" w:line="300" w:lineRule="auto"/>
        <w:jc w:val="center"/>
        <w:outlineLvl w:val="1"/>
        <w:rPr>
          <w:rFonts w:hint="eastAsia" w:hAnsi="宋体"/>
          <w:bCs/>
          <w:sz w:val="24"/>
        </w:rPr>
      </w:pPr>
      <w:bookmarkStart w:id="129" w:name="_Toc269885301"/>
      <w:bookmarkStart w:id="130" w:name="_Toc268120046"/>
      <w:bookmarkStart w:id="131" w:name="_Toc268120172"/>
      <w:bookmarkStart w:id="132" w:name="_Toc268678436"/>
      <w:bookmarkStart w:id="133" w:name="_Toc201943567"/>
      <w:bookmarkStart w:id="134" w:name="_Toc275249820"/>
      <w:r>
        <w:rPr>
          <w:rFonts w:hAnsi="宋体"/>
          <w:bCs/>
          <w:sz w:val="24"/>
        </w:rPr>
        <w:t xml:space="preserve">6.5 </w:t>
      </w:r>
      <w:r>
        <w:rPr>
          <w:rFonts w:hint="eastAsia" w:hAnsi="宋体"/>
          <w:bCs/>
          <w:sz w:val="24"/>
        </w:rPr>
        <w:t xml:space="preserve"> </w:t>
      </w:r>
      <w:r>
        <w:rPr>
          <w:rFonts w:hAnsi="宋体"/>
          <w:bCs/>
          <w:sz w:val="24"/>
        </w:rPr>
        <w:t>运输</w:t>
      </w:r>
      <w:bookmarkEnd w:id="129"/>
      <w:bookmarkEnd w:id="130"/>
      <w:bookmarkEnd w:id="131"/>
      <w:bookmarkEnd w:id="132"/>
      <w:bookmarkEnd w:id="133"/>
      <w:bookmarkEnd w:id="134"/>
    </w:p>
    <w:p w14:paraId="753400CE">
      <w:pPr>
        <w:spacing w:line="300" w:lineRule="auto"/>
        <w:rPr>
          <w:rFonts w:hint="eastAsia" w:hAnsi="宋体"/>
          <w:szCs w:val="21"/>
        </w:rPr>
      </w:pPr>
      <w:r>
        <w:rPr>
          <w:b/>
          <w:szCs w:val="21"/>
        </w:rPr>
        <w:t>6.5.1</w:t>
      </w:r>
      <w:r>
        <w:rPr>
          <w:szCs w:val="21"/>
        </w:rPr>
        <w:t xml:space="preserve">  </w:t>
      </w:r>
      <w:r>
        <w:rPr>
          <w:rFonts w:hAnsi="宋体"/>
          <w:szCs w:val="21"/>
        </w:rPr>
        <w:t>在运输过程中，应控制混凝土不离析、不分层，并应控制混凝土拌合物性能满足施工要求。</w:t>
      </w:r>
    </w:p>
    <w:p w14:paraId="753400CF">
      <w:pPr>
        <w:spacing w:line="300" w:lineRule="auto"/>
        <w:rPr>
          <w:szCs w:val="21"/>
        </w:rPr>
      </w:pPr>
      <w:r>
        <w:rPr>
          <w:b/>
          <w:szCs w:val="21"/>
        </w:rPr>
        <w:t>6.5.2</w:t>
      </w:r>
      <w:r>
        <w:rPr>
          <w:szCs w:val="21"/>
        </w:rPr>
        <w:t xml:space="preserve">  </w:t>
      </w:r>
      <w:r>
        <w:rPr>
          <w:rFonts w:hAnsi="宋体"/>
          <w:szCs w:val="21"/>
        </w:rPr>
        <w:t>当采用机动翻斗车运输混凝土时，道路应平整。</w:t>
      </w:r>
    </w:p>
    <w:p w14:paraId="753400D0">
      <w:pPr>
        <w:spacing w:line="300" w:lineRule="auto"/>
        <w:rPr>
          <w:szCs w:val="21"/>
        </w:rPr>
      </w:pPr>
      <w:r>
        <w:rPr>
          <w:b/>
          <w:szCs w:val="21"/>
        </w:rPr>
        <w:t xml:space="preserve">6.5.3 </w:t>
      </w:r>
      <w:r>
        <w:rPr>
          <w:szCs w:val="21"/>
        </w:rPr>
        <w:t xml:space="preserve"> </w:t>
      </w:r>
      <w:r>
        <w:rPr>
          <w:rFonts w:hAnsi="宋体"/>
          <w:szCs w:val="21"/>
        </w:rPr>
        <w:t>当采用搅拌罐车运送混凝土拌合物时，搅拌罐在冬期</w:t>
      </w:r>
      <w:r>
        <w:rPr>
          <w:rFonts w:hint="eastAsia" w:hAnsi="宋体"/>
          <w:szCs w:val="21"/>
        </w:rPr>
        <w:t>及炎热季节</w:t>
      </w:r>
      <w:r>
        <w:rPr>
          <w:rFonts w:hAnsi="宋体"/>
          <w:szCs w:val="21"/>
        </w:rPr>
        <w:t>应有保温</w:t>
      </w:r>
      <w:r>
        <w:rPr>
          <w:rFonts w:hint="eastAsia" w:hAnsi="宋体"/>
          <w:szCs w:val="21"/>
        </w:rPr>
        <w:t>隔热</w:t>
      </w:r>
      <w:r>
        <w:rPr>
          <w:rFonts w:hAnsi="宋体"/>
          <w:szCs w:val="21"/>
        </w:rPr>
        <w:t>措施。</w:t>
      </w:r>
    </w:p>
    <w:p w14:paraId="753400D1">
      <w:pPr>
        <w:spacing w:line="300" w:lineRule="auto"/>
        <w:rPr>
          <w:rFonts w:hint="eastAsia" w:hAnsi="宋体"/>
          <w:szCs w:val="21"/>
        </w:rPr>
      </w:pPr>
      <w:r>
        <w:rPr>
          <w:b/>
          <w:szCs w:val="21"/>
        </w:rPr>
        <w:t>6.5.4</w:t>
      </w:r>
      <w:r>
        <w:rPr>
          <w:szCs w:val="21"/>
        </w:rPr>
        <w:t xml:space="preserve">  </w:t>
      </w:r>
      <w:r>
        <w:rPr>
          <w:rFonts w:hAnsi="宋体"/>
          <w:szCs w:val="21"/>
        </w:rPr>
        <w:t>当采用搅拌罐车运送混凝土拌合物时，卸料前应采用快</w:t>
      </w:r>
      <w:r>
        <w:rPr>
          <w:rFonts w:hint="eastAsia" w:hAnsi="宋体"/>
          <w:szCs w:val="21"/>
        </w:rPr>
        <w:t>挡</w:t>
      </w:r>
      <w:r>
        <w:rPr>
          <w:rFonts w:hAnsi="宋体"/>
          <w:szCs w:val="21"/>
        </w:rPr>
        <w:t>旋转搅拌罐不少于20s。因运距过远、交通或现场等问题造成坍落度损失较大而卸料困难时，可采用在混凝土拌合物中掺入适量减水剂并快档旋转搅拌罐的措施，</w:t>
      </w:r>
      <w:r>
        <w:rPr>
          <w:rFonts w:hint="eastAsia"/>
        </w:rPr>
        <w:t>减水剂掺量应经试验确定</w:t>
      </w:r>
      <w:r>
        <w:rPr>
          <w:rFonts w:hAnsi="宋体"/>
          <w:szCs w:val="21"/>
        </w:rPr>
        <w:t>。</w:t>
      </w:r>
    </w:p>
    <w:p w14:paraId="753400D2">
      <w:pPr>
        <w:spacing w:line="300" w:lineRule="auto"/>
        <w:rPr>
          <w:szCs w:val="21"/>
        </w:rPr>
      </w:pPr>
      <w:r>
        <w:rPr>
          <w:b/>
          <w:szCs w:val="21"/>
        </w:rPr>
        <w:t>6.5.</w:t>
      </w:r>
      <w:r>
        <w:rPr>
          <w:rFonts w:hint="eastAsia"/>
          <w:b/>
          <w:szCs w:val="21"/>
        </w:rPr>
        <w:t>5</w:t>
      </w:r>
      <w:r>
        <w:rPr>
          <w:b/>
          <w:szCs w:val="21"/>
        </w:rPr>
        <w:t xml:space="preserve"> </w:t>
      </w:r>
      <w:r>
        <w:rPr>
          <w:szCs w:val="21"/>
        </w:rPr>
        <w:t xml:space="preserve"> </w:t>
      </w:r>
      <w:r>
        <w:rPr>
          <w:rFonts w:hAnsi="宋体"/>
          <w:szCs w:val="21"/>
        </w:rPr>
        <w:t>当采用泵送混凝土时，混凝土运输应保证混凝土连续泵送，并应符合现行行业标准《混凝土泵送施工技术规程》</w:t>
      </w:r>
      <w:r>
        <w:rPr>
          <w:szCs w:val="21"/>
        </w:rPr>
        <w:t>JGJ/T 10</w:t>
      </w:r>
      <w:r>
        <w:rPr>
          <w:rFonts w:hAnsi="宋体"/>
          <w:szCs w:val="21"/>
        </w:rPr>
        <w:t>的有关规定。</w:t>
      </w:r>
    </w:p>
    <w:p w14:paraId="753400D3">
      <w:pPr>
        <w:spacing w:line="300" w:lineRule="auto"/>
        <w:rPr>
          <w:rFonts w:hint="eastAsia" w:hAnsi="宋体"/>
          <w:szCs w:val="21"/>
        </w:rPr>
      </w:pPr>
      <w:r>
        <w:rPr>
          <w:b/>
          <w:szCs w:val="21"/>
        </w:rPr>
        <w:t>6.5.</w:t>
      </w:r>
      <w:r>
        <w:rPr>
          <w:rFonts w:hint="eastAsia"/>
          <w:b/>
          <w:szCs w:val="21"/>
        </w:rPr>
        <w:t>6</w:t>
      </w:r>
      <w:r>
        <w:rPr>
          <w:szCs w:val="21"/>
        </w:rPr>
        <w:t xml:space="preserve">  </w:t>
      </w:r>
      <w:r>
        <w:rPr>
          <w:rFonts w:hAnsi="宋体"/>
          <w:szCs w:val="21"/>
        </w:rPr>
        <w:t>混凝土从搅拌机卸入搅拌运输车至卸料</w:t>
      </w:r>
      <w:r>
        <w:rPr>
          <w:rFonts w:hint="eastAsia" w:hAnsi="宋体"/>
          <w:szCs w:val="21"/>
        </w:rPr>
        <w:t>时</w:t>
      </w:r>
      <w:r>
        <w:rPr>
          <w:rFonts w:hAnsi="宋体"/>
          <w:szCs w:val="21"/>
        </w:rPr>
        <w:t>的运输时间不宜大于90min，如需延长运送时间，则应采取相应的有效技术措施，并应通过试验验证；当采用翻斗车时，运输时间不</w:t>
      </w:r>
      <w:r>
        <w:rPr>
          <w:rFonts w:hint="eastAsia" w:hAnsi="宋体"/>
          <w:szCs w:val="21"/>
        </w:rPr>
        <w:t>应</w:t>
      </w:r>
      <w:r>
        <w:rPr>
          <w:rFonts w:hAnsi="宋体"/>
          <w:szCs w:val="21"/>
        </w:rPr>
        <w:t>大于45min。</w:t>
      </w:r>
    </w:p>
    <w:p w14:paraId="753400D4">
      <w:pPr>
        <w:spacing w:line="300" w:lineRule="auto"/>
        <w:rPr>
          <w:rFonts w:hint="eastAsia" w:hAnsi="宋体"/>
          <w:szCs w:val="21"/>
        </w:rPr>
      </w:pPr>
      <w:r>
        <w:rPr>
          <w:b/>
          <w:szCs w:val="21"/>
        </w:rPr>
        <w:t>6.5.</w:t>
      </w:r>
      <w:r>
        <w:rPr>
          <w:rFonts w:hint="eastAsia"/>
          <w:b/>
          <w:szCs w:val="21"/>
        </w:rPr>
        <w:t>7</w:t>
      </w:r>
      <w:r>
        <w:rPr>
          <w:szCs w:val="21"/>
        </w:rPr>
        <w:t xml:space="preserve">  </w:t>
      </w:r>
      <w:r>
        <w:rPr>
          <w:rFonts w:hAnsi="宋体"/>
          <w:szCs w:val="21"/>
        </w:rPr>
        <w:t>预拌混凝土企业应制定运输管理制度，合理调度车辆，并宜采用定位系统监控车辆运行</w:t>
      </w:r>
      <w:r>
        <w:rPr>
          <w:rFonts w:hint="eastAsia" w:hAnsi="宋体"/>
          <w:szCs w:val="21"/>
        </w:rPr>
        <w:t>。</w:t>
      </w:r>
    </w:p>
    <w:p w14:paraId="753400D5">
      <w:pPr>
        <w:spacing w:line="300" w:lineRule="auto"/>
        <w:rPr>
          <w:rFonts w:hint="eastAsia" w:hAnsi="宋体"/>
          <w:szCs w:val="21"/>
        </w:rPr>
      </w:pPr>
      <w:r>
        <w:rPr>
          <w:b/>
          <w:szCs w:val="21"/>
        </w:rPr>
        <w:t>6.5.</w:t>
      </w:r>
      <w:r>
        <w:rPr>
          <w:rFonts w:hint="eastAsia"/>
          <w:b/>
          <w:szCs w:val="21"/>
        </w:rPr>
        <w:t>8</w:t>
      </w:r>
      <w:r>
        <w:rPr>
          <w:szCs w:val="21"/>
        </w:rPr>
        <w:t xml:space="preserve">  </w:t>
      </w:r>
      <w:r>
        <w:rPr>
          <w:rFonts w:hAnsi="宋体"/>
          <w:szCs w:val="21"/>
        </w:rPr>
        <w:t>搅拌运输车出入厂区时宜使用循环水进行冲洗以保持卫生清洁，冲洗运输车产生的废水可进入废水回收利用设施</w:t>
      </w:r>
      <w:r>
        <w:rPr>
          <w:rFonts w:hint="eastAsia" w:hAnsi="宋体"/>
          <w:szCs w:val="21"/>
        </w:rPr>
        <w:t>。</w:t>
      </w:r>
    </w:p>
    <w:p w14:paraId="753400D6">
      <w:pPr>
        <w:spacing w:before="312" w:beforeLines="100" w:after="312" w:afterLines="100" w:line="300" w:lineRule="auto"/>
        <w:jc w:val="center"/>
        <w:outlineLvl w:val="1"/>
        <w:rPr>
          <w:bCs/>
          <w:sz w:val="24"/>
        </w:rPr>
      </w:pPr>
      <w:bookmarkStart w:id="135" w:name="_Toc269885302"/>
      <w:bookmarkStart w:id="136" w:name="_Toc275249821"/>
      <w:bookmarkStart w:id="137" w:name="_Toc268678437"/>
      <w:bookmarkStart w:id="138" w:name="_Toc201943568"/>
      <w:bookmarkStart w:id="139" w:name="_Toc268120047"/>
      <w:bookmarkStart w:id="140" w:name="_Toc268120173"/>
      <w:r>
        <w:rPr>
          <w:bCs/>
          <w:sz w:val="24"/>
        </w:rPr>
        <w:t xml:space="preserve">6.6 </w:t>
      </w:r>
      <w:r>
        <w:rPr>
          <w:rFonts w:hint="eastAsia"/>
          <w:bCs/>
          <w:sz w:val="24"/>
        </w:rPr>
        <w:t xml:space="preserve"> </w:t>
      </w:r>
      <w:r>
        <w:rPr>
          <w:rFonts w:hAnsi="宋体"/>
          <w:bCs/>
          <w:sz w:val="24"/>
        </w:rPr>
        <w:t>浇筑成型</w:t>
      </w:r>
      <w:bookmarkEnd w:id="135"/>
      <w:bookmarkEnd w:id="136"/>
      <w:bookmarkEnd w:id="137"/>
      <w:bookmarkEnd w:id="138"/>
      <w:bookmarkEnd w:id="139"/>
      <w:bookmarkEnd w:id="140"/>
    </w:p>
    <w:p w14:paraId="753400D7">
      <w:pPr>
        <w:spacing w:line="300" w:lineRule="auto"/>
      </w:pPr>
      <w:r>
        <w:rPr>
          <w:b/>
          <w:szCs w:val="21"/>
        </w:rPr>
        <w:t>6.</w:t>
      </w:r>
      <w:r>
        <w:rPr>
          <w:rFonts w:hint="eastAsia"/>
          <w:b/>
          <w:szCs w:val="21"/>
        </w:rPr>
        <w:t>6</w:t>
      </w:r>
      <w:r>
        <w:rPr>
          <w:b/>
          <w:szCs w:val="21"/>
        </w:rPr>
        <w:t xml:space="preserve">.1 </w:t>
      </w:r>
      <w:r>
        <w:rPr>
          <w:szCs w:val="21"/>
        </w:rPr>
        <w:t xml:space="preserve"> </w:t>
      </w:r>
      <w:r>
        <w:rPr>
          <w:rFonts w:hAnsi="宋体"/>
        </w:rPr>
        <w:t>浇筑混凝土前，应检查并控制模板、钢筋、保护层和预埋件等的尺寸、规格、数量和位置，其偏差值应符合现行国家标准《混凝土结构工程施工质量验收规范》</w:t>
      </w:r>
      <w:r>
        <w:t>GB 50204</w:t>
      </w:r>
      <w:r>
        <w:rPr>
          <w:rFonts w:hAnsi="宋体"/>
        </w:rPr>
        <w:t>的</w:t>
      </w:r>
      <w:r>
        <w:rPr>
          <w:rFonts w:hint="eastAsia" w:hAnsi="宋体"/>
        </w:rPr>
        <w:t>有关</w:t>
      </w:r>
      <w:r>
        <w:rPr>
          <w:rFonts w:hAnsi="宋体"/>
        </w:rPr>
        <w:t>规定</w:t>
      </w:r>
      <w:r>
        <w:rPr>
          <w:rFonts w:hint="eastAsia" w:hAnsi="宋体"/>
        </w:rPr>
        <w:t>，并</w:t>
      </w:r>
      <w:r>
        <w:rPr>
          <w:rFonts w:hAnsi="宋体"/>
        </w:rPr>
        <w:t>应检查模板支撑的稳定性以及接缝的密合情况，应保证模板在混凝土浇筑过程中不失稳、不跑模和不漏浆。</w:t>
      </w:r>
    </w:p>
    <w:p w14:paraId="753400D8">
      <w:pPr>
        <w:spacing w:line="300" w:lineRule="auto"/>
        <w:rPr>
          <w:szCs w:val="21"/>
        </w:rPr>
      </w:pPr>
      <w:r>
        <w:rPr>
          <w:b/>
          <w:szCs w:val="21"/>
        </w:rPr>
        <w:t>6.</w:t>
      </w:r>
      <w:r>
        <w:rPr>
          <w:rFonts w:hint="eastAsia"/>
          <w:b/>
          <w:szCs w:val="21"/>
        </w:rPr>
        <w:t>6</w:t>
      </w:r>
      <w:r>
        <w:rPr>
          <w:b/>
          <w:szCs w:val="21"/>
        </w:rPr>
        <w:t xml:space="preserve">.2 </w:t>
      </w:r>
      <w:r>
        <w:rPr>
          <w:szCs w:val="21"/>
        </w:rPr>
        <w:t xml:space="preserve"> </w:t>
      </w:r>
      <w:r>
        <w:rPr>
          <w:rFonts w:hAnsi="宋体"/>
          <w:szCs w:val="21"/>
        </w:rPr>
        <w:t>浇筑混凝土前，应清除模板内以及垫层上的杂物；表面干燥的地基土、垫层、木模板应浇水湿润。</w:t>
      </w:r>
    </w:p>
    <w:p w14:paraId="753400D9">
      <w:pPr>
        <w:spacing w:line="300" w:lineRule="auto"/>
        <w:rPr>
          <w:szCs w:val="21"/>
        </w:rPr>
      </w:pPr>
      <w:r>
        <w:rPr>
          <w:b/>
          <w:szCs w:val="21"/>
        </w:rPr>
        <w:t>6.</w:t>
      </w:r>
      <w:r>
        <w:rPr>
          <w:rFonts w:hint="eastAsia"/>
          <w:b/>
          <w:szCs w:val="21"/>
        </w:rPr>
        <w:t>6</w:t>
      </w:r>
      <w:r>
        <w:rPr>
          <w:b/>
          <w:szCs w:val="21"/>
        </w:rPr>
        <w:t>.3</w:t>
      </w:r>
      <w:r>
        <w:rPr>
          <w:szCs w:val="21"/>
        </w:rPr>
        <w:t xml:space="preserve">  </w:t>
      </w:r>
      <w:r>
        <w:rPr>
          <w:rFonts w:hAnsi="宋体"/>
          <w:szCs w:val="21"/>
        </w:rPr>
        <w:t>当夏季天气炎热时，混凝土拌合物入模温度不应高于</w:t>
      </w:r>
      <w:r>
        <w:rPr>
          <w:szCs w:val="21"/>
        </w:rPr>
        <w:t>35</w:t>
      </w:r>
      <w:r>
        <w:rPr>
          <w:rFonts w:ascii="宋体" w:hAnsi="宋体"/>
          <w:szCs w:val="21"/>
        </w:rPr>
        <w:t>℃</w:t>
      </w:r>
      <w:r>
        <w:rPr>
          <w:rFonts w:hAnsi="宋体"/>
          <w:szCs w:val="21"/>
        </w:rPr>
        <w:t>，</w:t>
      </w:r>
      <w:r>
        <w:rPr>
          <w:rFonts w:hint="eastAsia" w:hAnsi="宋体"/>
          <w:szCs w:val="21"/>
        </w:rPr>
        <w:t>大体积混凝土不宜高于30℃</w:t>
      </w:r>
      <w:r>
        <w:rPr>
          <w:rFonts w:hint="eastAsia"/>
          <w:szCs w:val="21"/>
        </w:rPr>
        <w:t>，</w:t>
      </w:r>
      <w:r>
        <w:rPr>
          <w:rFonts w:hAnsi="宋体"/>
          <w:szCs w:val="21"/>
        </w:rPr>
        <w:t>宜选择晚间或夜间浇筑混凝土；现场温度高于</w:t>
      </w:r>
      <w:r>
        <w:rPr>
          <w:szCs w:val="21"/>
        </w:rPr>
        <w:t>35</w:t>
      </w:r>
      <w:r>
        <w:rPr>
          <w:rFonts w:ascii="宋体" w:hAnsi="宋体"/>
          <w:szCs w:val="21"/>
        </w:rPr>
        <w:t>℃</w:t>
      </w:r>
      <w:r>
        <w:rPr>
          <w:rFonts w:hAnsi="宋体"/>
          <w:szCs w:val="21"/>
        </w:rPr>
        <w:t>时，宜对金属模板进行浇水降温，但不</w:t>
      </w:r>
      <w:r>
        <w:rPr>
          <w:rFonts w:hint="eastAsia" w:hAnsi="宋体"/>
          <w:szCs w:val="21"/>
        </w:rPr>
        <w:t>应</w:t>
      </w:r>
      <w:r>
        <w:rPr>
          <w:rFonts w:hAnsi="宋体"/>
          <w:szCs w:val="21"/>
        </w:rPr>
        <w:t>留有积水，并宜采取遮挡措施避免阳光照射金属模板。</w:t>
      </w:r>
    </w:p>
    <w:p w14:paraId="753400DA">
      <w:pPr>
        <w:spacing w:line="300" w:lineRule="auto"/>
        <w:rPr>
          <w:szCs w:val="21"/>
        </w:rPr>
      </w:pPr>
      <w:r>
        <w:rPr>
          <w:b/>
          <w:szCs w:val="21"/>
        </w:rPr>
        <w:t>6.</w:t>
      </w:r>
      <w:r>
        <w:rPr>
          <w:rFonts w:hint="eastAsia"/>
          <w:b/>
          <w:szCs w:val="21"/>
        </w:rPr>
        <w:t>6</w:t>
      </w:r>
      <w:r>
        <w:rPr>
          <w:b/>
          <w:szCs w:val="21"/>
        </w:rPr>
        <w:t>.4</w:t>
      </w:r>
      <w:r>
        <w:rPr>
          <w:szCs w:val="21"/>
        </w:rPr>
        <w:t xml:space="preserve">  </w:t>
      </w:r>
      <w:r>
        <w:rPr>
          <w:rFonts w:hAnsi="宋体"/>
          <w:szCs w:val="21"/>
        </w:rPr>
        <w:t>当冬期施工时，混凝土拌合物入模温度不应低于</w:t>
      </w:r>
      <w:r>
        <w:rPr>
          <w:szCs w:val="21"/>
        </w:rPr>
        <w:t>5</w:t>
      </w:r>
      <w:r>
        <w:rPr>
          <w:rFonts w:ascii="宋体" w:hAnsi="宋体"/>
          <w:szCs w:val="21"/>
        </w:rPr>
        <w:t>℃</w:t>
      </w:r>
      <w:r>
        <w:rPr>
          <w:rFonts w:hAnsi="宋体"/>
          <w:szCs w:val="21"/>
        </w:rPr>
        <w:t>，并应有保温措施。</w:t>
      </w:r>
    </w:p>
    <w:p w14:paraId="753400DB">
      <w:pPr>
        <w:spacing w:line="300" w:lineRule="auto"/>
        <w:rPr>
          <w:szCs w:val="21"/>
        </w:rPr>
      </w:pPr>
      <w:r>
        <w:rPr>
          <w:b/>
          <w:szCs w:val="21"/>
        </w:rPr>
        <w:t>6.6.5</w:t>
      </w:r>
      <w:r>
        <w:rPr>
          <w:szCs w:val="21"/>
        </w:rPr>
        <w:t xml:space="preserve">  </w:t>
      </w:r>
      <w:r>
        <w:rPr>
          <w:rFonts w:hAnsi="宋体"/>
          <w:szCs w:val="21"/>
        </w:rPr>
        <w:t>在浇筑过程中，应有效控制混凝土的均匀性、密实性和整体性。</w:t>
      </w:r>
    </w:p>
    <w:p w14:paraId="753400DC">
      <w:pPr>
        <w:spacing w:line="300" w:lineRule="auto"/>
        <w:rPr>
          <w:szCs w:val="21"/>
        </w:rPr>
      </w:pPr>
      <w:r>
        <w:rPr>
          <w:b/>
          <w:szCs w:val="21"/>
        </w:rPr>
        <w:t xml:space="preserve">6.6.6 </w:t>
      </w:r>
      <w:r>
        <w:rPr>
          <w:szCs w:val="21"/>
        </w:rPr>
        <w:t xml:space="preserve"> </w:t>
      </w:r>
      <w:r>
        <w:rPr>
          <w:rFonts w:hAnsi="宋体"/>
          <w:szCs w:val="21"/>
        </w:rPr>
        <w:t>泵送混凝土输送管道的最小内径宜符合表</w:t>
      </w:r>
      <w:r>
        <w:rPr>
          <w:szCs w:val="21"/>
        </w:rPr>
        <w:t>6.6.6</w:t>
      </w:r>
      <w:r>
        <w:rPr>
          <w:rFonts w:hAnsi="宋体"/>
          <w:szCs w:val="21"/>
        </w:rPr>
        <w:t>的规定；混凝土输送泵的泵压应与混凝土拌合物特性和泵送高度相匹配；泵送混凝土的输送管道应支撑稳定，不漏浆，冬期应有保温措施，夏季施工现场最高气温超过</w:t>
      </w:r>
      <w:r>
        <w:rPr>
          <w:szCs w:val="21"/>
        </w:rPr>
        <w:t>40</w:t>
      </w:r>
      <w:r>
        <w:rPr>
          <w:rFonts w:ascii="宋体" w:hAnsi="宋体"/>
          <w:szCs w:val="21"/>
        </w:rPr>
        <w:t>℃</w:t>
      </w:r>
      <w:r>
        <w:rPr>
          <w:rFonts w:hAnsi="宋体"/>
          <w:szCs w:val="21"/>
        </w:rPr>
        <w:t>时，应有隔热措施。</w:t>
      </w:r>
    </w:p>
    <w:p w14:paraId="753400DD">
      <w:pPr>
        <w:topLinePunct/>
        <w:adjustRightInd w:val="0"/>
        <w:spacing w:before="156" w:beforeLines="50"/>
        <w:jc w:val="center"/>
        <w:rPr>
          <w:rFonts w:hint="eastAsia" w:ascii="黑体" w:hAnsi="宋体" w:eastAsia="黑体"/>
          <w:sz w:val="18"/>
          <w:szCs w:val="18"/>
        </w:rPr>
      </w:pPr>
      <w:r>
        <w:rPr>
          <w:rFonts w:hint="eastAsia" w:ascii="黑体" w:hAnsi="宋体" w:eastAsia="黑体"/>
          <w:sz w:val="18"/>
          <w:szCs w:val="18"/>
        </w:rPr>
        <w:t>表</w:t>
      </w:r>
      <w:r>
        <w:rPr>
          <w:rFonts w:ascii="黑体" w:hAnsi="宋体" w:eastAsia="黑体"/>
          <w:sz w:val="18"/>
          <w:szCs w:val="18"/>
        </w:rPr>
        <w:t>6.6.6  泵送混凝土输送管道的最小内径（mm）</w:t>
      </w:r>
    </w:p>
    <w:tbl>
      <w:tblPr>
        <w:tblStyle w:val="16"/>
        <w:tblpPr w:leftFromText="180" w:rightFromText="180" w:vertAnchor="text" w:tblpXSpec="center" w:tblpY="1"/>
        <w:tblOverlap w:val="never"/>
        <w:tblW w:w="8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4"/>
        <w:gridCol w:w="4014"/>
      </w:tblGrid>
      <w:tr w14:paraId="7534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shd w:val="clear" w:color="auto" w:fill="auto"/>
            <w:vAlign w:val="center"/>
          </w:tcPr>
          <w:p w14:paraId="753400DE">
            <w:pPr>
              <w:jc w:val="center"/>
              <w:rPr>
                <w:sz w:val="18"/>
                <w:szCs w:val="18"/>
              </w:rPr>
            </w:pPr>
            <w:r>
              <w:rPr>
                <w:rFonts w:hAnsi="宋体"/>
                <w:sz w:val="18"/>
                <w:szCs w:val="18"/>
              </w:rPr>
              <w:t>粗骨料最大公称粒径</w:t>
            </w:r>
          </w:p>
        </w:tc>
        <w:tc>
          <w:tcPr>
            <w:tcW w:w="4014" w:type="dxa"/>
            <w:shd w:val="clear" w:color="auto" w:fill="auto"/>
            <w:vAlign w:val="center"/>
          </w:tcPr>
          <w:p w14:paraId="753400DF">
            <w:pPr>
              <w:jc w:val="center"/>
              <w:rPr>
                <w:sz w:val="18"/>
                <w:szCs w:val="18"/>
              </w:rPr>
            </w:pPr>
            <w:r>
              <w:rPr>
                <w:rFonts w:hAnsi="宋体"/>
                <w:sz w:val="18"/>
                <w:szCs w:val="18"/>
              </w:rPr>
              <w:t>输送管最小内径</w:t>
            </w:r>
          </w:p>
        </w:tc>
      </w:tr>
      <w:tr w14:paraId="7534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shd w:val="clear" w:color="auto" w:fill="auto"/>
            <w:vAlign w:val="center"/>
          </w:tcPr>
          <w:p w14:paraId="753400E1">
            <w:pPr>
              <w:jc w:val="center"/>
              <w:rPr>
                <w:sz w:val="18"/>
                <w:szCs w:val="18"/>
              </w:rPr>
            </w:pPr>
            <w:r>
              <w:rPr>
                <w:sz w:val="18"/>
                <w:szCs w:val="18"/>
              </w:rPr>
              <w:t>25</w:t>
            </w:r>
          </w:p>
        </w:tc>
        <w:tc>
          <w:tcPr>
            <w:tcW w:w="4014" w:type="dxa"/>
            <w:shd w:val="clear" w:color="auto" w:fill="auto"/>
            <w:vAlign w:val="center"/>
          </w:tcPr>
          <w:p w14:paraId="753400E2">
            <w:pPr>
              <w:jc w:val="center"/>
              <w:rPr>
                <w:sz w:val="18"/>
                <w:szCs w:val="18"/>
              </w:rPr>
            </w:pPr>
            <w:r>
              <w:rPr>
                <w:sz w:val="18"/>
                <w:szCs w:val="18"/>
              </w:rPr>
              <w:t>125</w:t>
            </w:r>
          </w:p>
        </w:tc>
      </w:tr>
      <w:tr w14:paraId="7534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4" w:type="dxa"/>
            <w:shd w:val="clear" w:color="auto" w:fill="auto"/>
            <w:vAlign w:val="center"/>
          </w:tcPr>
          <w:p w14:paraId="753400E4">
            <w:pPr>
              <w:jc w:val="center"/>
              <w:rPr>
                <w:sz w:val="18"/>
                <w:szCs w:val="18"/>
              </w:rPr>
            </w:pPr>
            <w:r>
              <w:rPr>
                <w:sz w:val="18"/>
                <w:szCs w:val="18"/>
              </w:rPr>
              <w:t>40</w:t>
            </w:r>
          </w:p>
        </w:tc>
        <w:tc>
          <w:tcPr>
            <w:tcW w:w="4014" w:type="dxa"/>
            <w:shd w:val="clear" w:color="auto" w:fill="auto"/>
            <w:vAlign w:val="center"/>
          </w:tcPr>
          <w:p w14:paraId="753400E5">
            <w:pPr>
              <w:jc w:val="center"/>
              <w:rPr>
                <w:sz w:val="18"/>
                <w:szCs w:val="18"/>
              </w:rPr>
            </w:pPr>
            <w:r>
              <w:rPr>
                <w:sz w:val="18"/>
                <w:szCs w:val="18"/>
              </w:rPr>
              <w:t>150</w:t>
            </w:r>
          </w:p>
        </w:tc>
      </w:tr>
    </w:tbl>
    <w:p w14:paraId="753400E7">
      <w:pPr>
        <w:spacing w:line="300" w:lineRule="auto"/>
        <w:rPr>
          <w:szCs w:val="21"/>
        </w:rPr>
      </w:pPr>
      <w:r>
        <w:rPr>
          <w:b/>
          <w:szCs w:val="21"/>
        </w:rPr>
        <w:t>6.6.7</w:t>
      </w:r>
      <w:r>
        <w:rPr>
          <w:szCs w:val="21"/>
        </w:rPr>
        <w:t xml:space="preserve">  </w:t>
      </w:r>
      <w:r>
        <w:rPr>
          <w:rFonts w:hAnsi="宋体"/>
          <w:szCs w:val="21"/>
        </w:rPr>
        <w:t>不同配合比或不同强度等级泵送混凝土在同一时间段交替浇筑时，输送管道中的混凝土不得混入其</w:t>
      </w:r>
      <w:r>
        <w:rPr>
          <w:rFonts w:hint="eastAsia" w:hAnsi="宋体"/>
          <w:szCs w:val="21"/>
        </w:rPr>
        <w:t>他</w:t>
      </w:r>
      <w:r>
        <w:rPr>
          <w:rFonts w:hAnsi="宋体"/>
          <w:szCs w:val="21"/>
        </w:rPr>
        <w:t>不同配合比或不同强度等级混凝土。</w:t>
      </w:r>
    </w:p>
    <w:p w14:paraId="753400E8">
      <w:pPr>
        <w:spacing w:line="300" w:lineRule="auto"/>
        <w:rPr>
          <w:szCs w:val="21"/>
        </w:rPr>
      </w:pPr>
      <w:r>
        <w:rPr>
          <w:b/>
          <w:szCs w:val="21"/>
        </w:rPr>
        <w:t xml:space="preserve">6.6.8 </w:t>
      </w:r>
      <w:r>
        <w:rPr>
          <w:szCs w:val="21"/>
        </w:rPr>
        <w:t xml:space="preserve"> </w:t>
      </w:r>
      <w:r>
        <w:rPr>
          <w:rFonts w:hAnsi="宋体"/>
          <w:szCs w:val="21"/>
        </w:rPr>
        <w:t>当混凝土自由倾落高度大于</w:t>
      </w:r>
      <w:r>
        <w:rPr>
          <w:rFonts w:hint="eastAsia"/>
          <w:szCs w:val="21"/>
        </w:rPr>
        <w:t>3.0</w:t>
      </w:r>
      <w:r>
        <w:rPr>
          <w:szCs w:val="21"/>
        </w:rPr>
        <w:t>m</w:t>
      </w:r>
      <w:r>
        <w:rPr>
          <w:rFonts w:hAnsi="宋体"/>
          <w:szCs w:val="21"/>
        </w:rPr>
        <w:t>时，宜采用串筒、溜管或振动溜管等辅助设备。</w:t>
      </w:r>
    </w:p>
    <w:p w14:paraId="753400E9">
      <w:pPr>
        <w:spacing w:line="300" w:lineRule="auto"/>
        <w:rPr>
          <w:szCs w:val="21"/>
        </w:rPr>
      </w:pPr>
      <w:r>
        <w:rPr>
          <w:b/>
          <w:szCs w:val="21"/>
        </w:rPr>
        <w:t xml:space="preserve">6.6.9 </w:t>
      </w:r>
      <w:r>
        <w:rPr>
          <w:szCs w:val="21"/>
        </w:rPr>
        <w:t xml:space="preserve"> </w:t>
      </w:r>
      <w:r>
        <w:rPr>
          <w:rFonts w:hAnsi="宋体"/>
          <w:szCs w:val="21"/>
        </w:rPr>
        <w:t>浇筑</w:t>
      </w:r>
      <w:r>
        <w:rPr>
          <w:rFonts w:hint="eastAsia" w:hAnsi="宋体"/>
          <w:szCs w:val="21"/>
        </w:rPr>
        <w:t>竖向尺寸较大的</w:t>
      </w:r>
      <w:r>
        <w:rPr>
          <w:rFonts w:hAnsi="宋体"/>
          <w:szCs w:val="21"/>
        </w:rPr>
        <w:t>结构物</w:t>
      </w:r>
      <w:r>
        <w:rPr>
          <w:rFonts w:hint="eastAsia" w:hAnsi="宋体"/>
          <w:szCs w:val="21"/>
        </w:rPr>
        <w:t>时，</w:t>
      </w:r>
      <w:r>
        <w:rPr>
          <w:rFonts w:hAnsi="宋体"/>
          <w:szCs w:val="21"/>
        </w:rPr>
        <w:t>应分层浇筑，每层浇筑厚度宜控制在</w:t>
      </w:r>
      <w:r>
        <w:rPr>
          <w:szCs w:val="21"/>
        </w:rPr>
        <w:t>300mm</w:t>
      </w:r>
      <w:r>
        <w:rPr>
          <w:rFonts w:hAnsi="宋体"/>
          <w:szCs w:val="21"/>
        </w:rPr>
        <w:t>～</w:t>
      </w:r>
      <w:r>
        <w:rPr>
          <w:szCs w:val="21"/>
        </w:rPr>
        <w:t>350mm</w:t>
      </w:r>
      <w:r>
        <w:rPr>
          <w:rFonts w:hAnsi="宋体"/>
          <w:szCs w:val="21"/>
        </w:rPr>
        <w:t>；大体积混凝土宜采用分层浇筑方法，可利用自然流淌形成斜坡沿高度均匀上升，分层厚度不应大于</w:t>
      </w:r>
      <w:r>
        <w:rPr>
          <w:szCs w:val="21"/>
        </w:rPr>
        <w:t>500mm</w:t>
      </w:r>
      <w:r>
        <w:rPr>
          <w:rFonts w:hAnsi="宋体"/>
          <w:szCs w:val="21"/>
        </w:rPr>
        <w:t>；对于清水混凝土浇筑，可多安排振捣棒，</w:t>
      </w:r>
      <w:r>
        <w:rPr>
          <w:rFonts w:hint="eastAsia" w:hAnsi="宋体"/>
          <w:szCs w:val="21"/>
        </w:rPr>
        <w:t>应</w:t>
      </w:r>
      <w:r>
        <w:rPr>
          <w:rFonts w:hAnsi="宋体"/>
          <w:szCs w:val="21"/>
        </w:rPr>
        <w:t>边</w:t>
      </w:r>
      <w:r>
        <w:rPr>
          <w:rFonts w:hint="eastAsia" w:hAnsi="宋体"/>
          <w:szCs w:val="21"/>
        </w:rPr>
        <w:t>浇筑</w:t>
      </w:r>
      <w:r>
        <w:rPr>
          <w:rFonts w:hAnsi="宋体"/>
          <w:szCs w:val="21"/>
        </w:rPr>
        <w:t>混凝土边振捣，</w:t>
      </w:r>
      <w:r>
        <w:rPr>
          <w:rFonts w:hint="eastAsia" w:hAnsi="宋体"/>
          <w:szCs w:val="21"/>
        </w:rPr>
        <w:t>宜</w:t>
      </w:r>
      <w:r>
        <w:rPr>
          <w:rFonts w:hAnsi="宋体"/>
          <w:szCs w:val="21"/>
        </w:rPr>
        <w:t>连续成型。</w:t>
      </w:r>
    </w:p>
    <w:p w14:paraId="753400EA">
      <w:pPr>
        <w:spacing w:line="300" w:lineRule="auto"/>
        <w:rPr>
          <w:szCs w:val="21"/>
        </w:rPr>
      </w:pPr>
      <w:r>
        <w:rPr>
          <w:b/>
          <w:szCs w:val="21"/>
        </w:rPr>
        <w:t>6.6.</w:t>
      </w:r>
      <w:r>
        <w:rPr>
          <w:rFonts w:hint="eastAsia"/>
          <w:b/>
          <w:szCs w:val="21"/>
        </w:rPr>
        <w:t>1</w:t>
      </w:r>
      <w:r>
        <w:rPr>
          <w:b/>
          <w:szCs w:val="21"/>
        </w:rPr>
        <w:t xml:space="preserve">0 </w:t>
      </w:r>
      <w:r>
        <w:rPr>
          <w:szCs w:val="21"/>
        </w:rPr>
        <w:t xml:space="preserve"> </w:t>
      </w:r>
      <w:r>
        <w:rPr>
          <w:rFonts w:hAnsi="宋体"/>
          <w:szCs w:val="21"/>
        </w:rPr>
        <w:t>自密实混凝土浇筑布料点应结合拌合物特性选择适宜的间距，必要时可以通过试验确定混凝土布料点下料间距。</w:t>
      </w:r>
    </w:p>
    <w:p w14:paraId="753400EB">
      <w:pPr>
        <w:spacing w:line="300" w:lineRule="auto"/>
        <w:rPr>
          <w:szCs w:val="21"/>
        </w:rPr>
      </w:pPr>
      <w:r>
        <w:rPr>
          <w:b/>
          <w:szCs w:val="21"/>
        </w:rPr>
        <w:t>6.6.</w:t>
      </w:r>
      <w:r>
        <w:rPr>
          <w:rFonts w:hint="eastAsia"/>
          <w:b/>
          <w:szCs w:val="21"/>
        </w:rPr>
        <w:t>11</w:t>
      </w:r>
      <w:r>
        <w:rPr>
          <w:b/>
          <w:szCs w:val="21"/>
        </w:rPr>
        <w:t xml:space="preserve"> </w:t>
      </w:r>
      <w:r>
        <w:rPr>
          <w:szCs w:val="21"/>
        </w:rPr>
        <w:t xml:space="preserve"> </w:t>
      </w:r>
      <w:r>
        <w:rPr>
          <w:rFonts w:hAnsi="宋体"/>
          <w:szCs w:val="21"/>
        </w:rPr>
        <w:t>应根据混凝土拌合物特性及混凝土结构、构件或制品的制作方式选择适当的振捣方式和振捣时间。</w:t>
      </w:r>
    </w:p>
    <w:p w14:paraId="753400EC">
      <w:pPr>
        <w:pStyle w:val="7"/>
        <w:spacing w:line="300" w:lineRule="auto"/>
        <w:rPr>
          <w:rFonts w:hint="eastAsia" w:ascii="Times New Roman" w:hAnsi="宋体" w:cs="Times New Roman"/>
        </w:rPr>
      </w:pPr>
      <w:r>
        <w:rPr>
          <w:rFonts w:ascii="Times New Roman" w:hAnsi="Times New Roman" w:cs="Times New Roman"/>
          <w:b/>
        </w:rPr>
        <w:t>6.6.</w:t>
      </w:r>
      <w:r>
        <w:rPr>
          <w:rFonts w:hint="eastAsia" w:ascii="Times New Roman" w:hAnsi="Times New Roman" w:cs="Times New Roman"/>
          <w:b/>
        </w:rPr>
        <w:t>12</w:t>
      </w:r>
      <w:r>
        <w:rPr>
          <w:rFonts w:ascii="Times New Roman" w:hAnsi="Times New Roman" w:cs="Times New Roman"/>
        </w:rPr>
        <w:t xml:space="preserve">  </w:t>
      </w:r>
      <w:r>
        <w:rPr>
          <w:rFonts w:ascii="Times New Roman" w:hAnsi="宋体" w:cs="Times New Roman"/>
        </w:rPr>
        <w:t>混凝土振捣宜采用机械振捣</w:t>
      </w:r>
      <w:r>
        <w:rPr>
          <w:rFonts w:hint="eastAsia" w:ascii="Times New Roman" w:hAnsi="宋体" w:cs="Times New Roman"/>
        </w:rPr>
        <w:t>，可采用自动化振捣措施</w:t>
      </w:r>
      <w:r>
        <w:rPr>
          <w:rFonts w:ascii="Times New Roman" w:hAnsi="宋体" w:cs="Times New Roman"/>
        </w:rPr>
        <w:t>。当施工无特殊振捣要求时，可采用振捣棒进行捣</w:t>
      </w:r>
      <w:r>
        <w:rPr>
          <w:rFonts w:hint="eastAsia" w:ascii="Times New Roman" w:hAnsi="宋体" w:cs="Times New Roman"/>
        </w:rPr>
        <w:t>实</w:t>
      </w:r>
      <w:r>
        <w:rPr>
          <w:rFonts w:ascii="Times New Roman" w:hAnsi="宋体" w:cs="Times New Roman"/>
        </w:rPr>
        <w:t>，插入间距不应大于振捣棒振动作用半径的一倍，连续多层浇筑时，振捣棒应插入下层拌合物约</w:t>
      </w:r>
      <w:r>
        <w:rPr>
          <w:rFonts w:ascii="Times New Roman" w:hAnsi="Times New Roman" w:cs="Times New Roman"/>
        </w:rPr>
        <w:t>50mm</w:t>
      </w:r>
      <w:r>
        <w:rPr>
          <w:rFonts w:ascii="Times New Roman" w:hAnsi="宋体" w:cs="Times New Roman"/>
        </w:rPr>
        <w:t>进行振捣；当浇筑厚度不大于</w:t>
      </w:r>
      <w:r>
        <w:rPr>
          <w:rFonts w:ascii="Times New Roman" w:hAnsi="Times New Roman" w:cs="Times New Roman"/>
        </w:rPr>
        <w:t>200mm</w:t>
      </w:r>
      <w:r>
        <w:rPr>
          <w:rFonts w:ascii="Times New Roman" w:hAnsi="宋体" w:cs="Times New Roman"/>
        </w:rPr>
        <w:t>的表面积较大的平面结构或构件时，宜采用表面振动成型；当采用干硬性混凝土拌合物浇筑成型混凝土制品时，宜采用振动台或表面加压振动成型。</w:t>
      </w:r>
    </w:p>
    <w:p w14:paraId="753400ED">
      <w:pPr>
        <w:pStyle w:val="7"/>
        <w:spacing w:line="300" w:lineRule="auto"/>
        <w:rPr>
          <w:rFonts w:ascii="Times New Roman" w:hAnsi="Times New Roman" w:cs="Times New Roman"/>
        </w:rPr>
      </w:pPr>
      <w:r>
        <w:rPr>
          <w:rFonts w:ascii="Times New Roman" w:hAnsi="Times New Roman" w:cs="Times New Roman"/>
          <w:b/>
        </w:rPr>
        <w:t>6.6.</w:t>
      </w:r>
      <w:r>
        <w:rPr>
          <w:rFonts w:hint="eastAsia" w:ascii="Times New Roman" w:hAnsi="Times New Roman" w:cs="Times New Roman"/>
          <w:b/>
        </w:rPr>
        <w:t>13</w:t>
      </w:r>
      <w:r>
        <w:rPr>
          <w:rFonts w:ascii="Times New Roman" w:hAnsi="Times New Roman" w:cs="Times New Roman"/>
        </w:rPr>
        <w:t xml:space="preserve">  </w:t>
      </w:r>
      <w:r>
        <w:rPr>
          <w:rFonts w:ascii="Times New Roman" w:hAnsi="宋体" w:cs="Times New Roman"/>
        </w:rPr>
        <w:t>振捣时间宜按拌合物稠度和振捣部位等不同情况，控制在</w:t>
      </w:r>
      <w:r>
        <w:rPr>
          <w:rFonts w:ascii="Times New Roman" w:hAnsi="Times New Roman" w:cs="Times New Roman"/>
        </w:rPr>
        <w:t>10s</w:t>
      </w:r>
      <w:r>
        <w:rPr>
          <w:rFonts w:ascii="Times New Roman" w:hAnsi="宋体" w:cs="Times New Roman"/>
        </w:rPr>
        <w:t>～</w:t>
      </w:r>
      <w:r>
        <w:rPr>
          <w:rFonts w:ascii="Times New Roman" w:hAnsi="Times New Roman" w:cs="Times New Roman"/>
        </w:rPr>
        <w:t>30s</w:t>
      </w:r>
      <w:r>
        <w:rPr>
          <w:rFonts w:ascii="Times New Roman" w:hAnsi="宋体" w:cs="Times New Roman"/>
        </w:rPr>
        <w:t>内，当混凝土拌合物表面出现泛浆，</w:t>
      </w:r>
      <w:r>
        <w:rPr>
          <w:rFonts w:hint="eastAsia" w:ascii="Times New Roman" w:hAnsi="宋体" w:cs="Times New Roman"/>
        </w:rPr>
        <w:t>基本无气泡逸出，</w:t>
      </w:r>
      <w:r>
        <w:rPr>
          <w:rFonts w:ascii="Times New Roman" w:hAnsi="宋体" w:cs="Times New Roman"/>
        </w:rPr>
        <w:t>可视为捣实。</w:t>
      </w:r>
    </w:p>
    <w:p w14:paraId="753400EE">
      <w:pPr>
        <w:spacing w:line="300" w:lineRule="auto"/>
        <w:rPr>
          <w:szCs w:val="21"/>
        </w:rPr>
      </w:pPr>
      <w:r>
        <w:rPr>
          <w:b/>
          <w:szCs w:val="21"/>
        </w:rPr>
        <w:t>6.6.</w:t>
      </w:r>
      <w:r>
        <w:rPr>
          <w:rFonts w:hint="eastAsia"/>
          <w:b/>
          <w:szCs w:val="21"/>
        </w:rPr>
        <w:t>14</w:t>
      </w:r>
      <w:r>
        <w:rPr>
          <w:b/>
          <w:szCs w:val="21"/>
        </w:rPr>
        <w:t xml:space="preserve"> </w:t>
      </w:r>
      <w:r>
        <w:rPr>
          <w:szCs w:val="21"/>
        </w:rPr>
        <w:t xml:space="preserve"> </w:t>
      </w:r>
      <w:r>
        <w:rPr>
          <w:rFonts w:hAnsi="宋体"/>
          <w:szCs w:val="21"/>
        </w:rPr>
        <w:t>混凝土拌合物从搅拌机卸出后到浇筑完毕的延续时间不宜超过表</w:t>
      </w:r>
      <w:r>
        <w:rPr>
          <w:szCs w:val="21"/>
        </w:rPr>
        <w:t>6.6.</w:t>
      </w:r>
      <w:r>
        <w:rPr>
          <w:rFonts w:hint="eastAsia"/>
          <w:szCs w:val="21"/>
        </w:rPr>
        <w:t>14</w:t>
      </w:r>
      <w:r>
        <w:rPr>
          <w:rFonts w:hAnsi="宋体"/>
          <w:szCs w:val="21"/>
        </w:rPr>
        <w:t>的规定。</w:t>
      </w:r>
    </w:p>
    <w:p w14:paraId="753400EF">
      <w:pPr>
        <w:topLinePunct/>
        <w:adjustRightInd w:val="0"/>
        <w:spacing w:before="156" w:beforeLines="50"/>
        <w:jc w:val="center"/>
        <w:rPr>
          <w:rFonts w:hint="eastAsia" w:ascii="黑体" w:hAnsi="宋体" w:eastAsia="黑体"/>
          <w:sz w:val="18"/>
          <w:szCs w:val="18"/>
        </w:rPr>
      </w:pPr>
      <w:r>
        <w:rPr>
          <w:rFonts w:ascii="黑体" w:hAnsi="宋体" w:eastAsia="黑体"/>
          <w:sz w:val="18"/>
          <w:szCs w:val="18"/>
        </w:rPr>
        <w:t>表6.6.</w:t>
      </w:r>
      <w:r>
        <w:rPr>
          <w:rFonts w:hint="eastAsia" w:ascii="黑体" w:hAnsi="宋体" w:eastAsia="黑体"/>
          <w:sz w:val="18"/>
          <w:szCs w:val="18"/>
        </w:rPr>
        <w:t>14</w:t>
      </w:r>
      <w:r>
        <w:rPr>
          <w:rFonts w:ascii="黑体" w:hAnsi="宋体" w:eastAsia="黑体"/>
          <w:sz w:val="18"/>
          <w:szCs w:val="18"/>
        </w:rPr>
        <w:t xml:space="preserve">  混凝土从搅拌机卸出</w:t>
      </w:r>
      <w:r>
        <w:rPr>
          <w:rFonts w:hint="eastAsia" w:ascii="黑体" w:hAnsi="宋体" w:eastAsia="黑体"/>
          <w:sz w:val="18"/>
          <w:szCs w:val="18"/>
        </w:rPr>
        <w:t>后</w:t>
      </w:r>
      <w:r>
        <w:rPr>
          <w:rFonts w:ascii="黑体" w:hAnsi="宋体" w:eastAsia="黑体"/>
          <w:sz w:val="18"/>
          <w:szCs w:val="18"/>
        </w:rPr>
        <w:t>到浇筑完毕的延续时间（min）</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58"/>
        <w:gridCol w:w="2436"/>
        <w:gridCol w:w="2328"/>
      </w:tblGrid>
      <w:tr w14:paraId="7534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05" w:type="pct"/>
            <w:vMerge w:val="restart"/>
            <w:vAlign w:val="center"/>
          </w:tcPr>
          <w:p w14:paraId="753400F0">
            <w:pPr>
              <w:jc w:val="center"/>
              <w:rPr>
                <w:sz w:val="18"/>
                <w:szCs w:val="18"/>
              </w:rPr>
            </w:pPr>
            <w:r>
              <w:rPr>
                <w:rFonts w:hAnsi="宋体"/>
                <w:sz w:val="18"/>
                <w:szCs w:val="18"/>
              </w:rPr>
              <w:t>混凝土生产地点</w:t>
            </w:r>
          </w:p>
        </w:tc>
        <w:tc>
          <w:tcPr>
            <w:tcW w:w="2795" w:type="pct"/>
            <w:gridSpan w:val="2"/>
          </w:tcPr>
          <w:p w14:paraId="753400F1">
            <w:pPr>
              <w:jc w:val="center"/>
              <w:rPr>
                <w:sz w:val="18"/>
                <w:szCs w:val="18"/>
              </w:rPr>
            </w:pPr>
            <w:r>
              <w:rPr>
                <w:rFonts w:hAnsi="宋体"/>
                <w:sz w:val="18"/>
                <w:szCs w:val="18"/>
              </w:rPr>
              <w:t>气温</w:t>
            </w:r>
          </w:p>
        </w:tc>
      </w:tr>
      <w:tr w14:paraId="7534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05" w:type="pct"/>
            <w:vMerge w:val="continue"/>
          </w:tcPr>
          <w:p w14:paraId="753400F3">
            <w:pPr>
              <w:jc w:val="center"/>
              <w:rPr>
                <w:sz w:val="18"/>
                <w:szCs w:val="18"/>
              </w:rPr>
            </w:pPr>
          </w:p>
        </w:tc>
        <w:tc>
          <w:tcPr>
            <w:tcW w:w="1429" w:type="pct"/>
          </w:tcPr>
          <w:p w14:paraId="753400F4">
            <w:pPr>
              <w:jc w:val="center"/>
              <w:rPr>
                <w:sz w:val="18"/>
                <w:szCs w:val="18"/>
              </w:rPr>
            </w:pPr>
            <w:r>
              <w:rPr>
                <w:sz w:val="18"/>
                <w:szCs w:val="18"/>
              </w:rPr>
              <w:t>≤25</w:t>
            </w:r>
            <w:r>
              <w:rPr>
                <w:rFonts w:hAnsi="宋体"/>
                <w:sz w:val="18"/>
                <w:szCs w:val="18"/>
              </w:rPr>
              <w:t>℃</w:t>
            </w:r>
          </w:p>
        </w:tc>
        <w:tc>
          <w:tcPr>
            <w:tcW w:w="1366" w:type="pct"/>
          </w:tcPr>
          <w:p w14:paraId="753400F5">
            <w:pPr>
              <w:jc w:val="center"/>
              <w:rPr>
                <w:sz w:val="18"/>
                <w:szCs w:val="18"/>
              </w:rPr>
            </w:pPr>
            <w:r>
              <w:rPr>
                <w:rFonts w:hAnsi="宋体"/>
                <w:sz w:val="18"/>
                <w:szCs w:val="18"/>
              </w:rPr>
              <w:t>＞</w:t>
            </w:r>
            <w:r>
              <w:rPr>
                <w:sz w:val="18"/>
                <w:szCs w:val="18"/>
              </w:rPr>
              <w:t>25</w:t>
            </w:r>
            <w:r>
              <w:rPr>
                <w:rFonts w:hAnsi="宋体"/>
                <w:sz w:val="18"/>
                <w:szCs w:val="18"/>
              </w:rPr>
              <w:t>℃</w:t>
            </w:r>
          </w:p>
        </w:tc>
      </w:tr>
      <w:tr w14:paraId="7534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05" w:type="pct"/>
          </w:tcPr>
          <w:p w14:paraId="753400F7">
            <w:pPr>
              <w:jc w:val="center"/>
              <w:rPr>
                <w:sz w:val="18"/>
                <w:szCs w:val="18"/>
              </w:rPr>
            </w:pPr>
            <w:r>
              <w:rPr>
                <w:rFonts w:hAnsi="宋体"/>
                <w:sz w:val="18"/>
                <w:szCs w:val="18"/>
              </w:rPr>
              <w:t>预拌混凝土搅拌站</w:t>
            </w:r>
          </w:p>
        </w:tc>
        <w:tc>
          <w:tcPr>
            <w:tcW w:w="1429" w:type="pct"/>
          </w:tcPr>
          <w:p w14:paraId="753400F8">
            <w:pPr>
              <w:jc w:val="center"/>
              <w:rPr>
                <w:sz w:val="18"/>
                <w:szCs w:val="18"/>
              </w:rPr>
            </w:pPr>
            <w:r>
              <w:rPr>
                <w:sz w:val="18"/>
                <w:szCs w:val="18"/>
              </w:rPr>
              <w:t>150</w:t>
            </w:r>
          </w:p>
        </w:tc>
        <w:tc>
          <w:tcPr>
            <w:tcW w:w="1366" w:type="pct"/>
          </w:tcPr>
          <w:p w14:paraId="753400F9">
            <w:pPr>
              <w:jc w:val="center"/>
              <w:rPr>
                <w:sz w:val="18"/>
                <w:szCs w:val="18"/>
              </w:rPr>
            </w:pPr>
            <w:r>
              <w:rPr>
                <w:sz w:val="18"/>
                <w:szCs w:val="18"/>
              </w:rPr>
              <w:t>120</w:t>
            </w:r>
          </w:p>
        </w:tc>
      </w:tr>
      <w:tr w14:paraId="75340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05" w:type="pct"/>
          </w:tcPr>
          <w:p w14:paraId="753400FB">
            <w:pPr>
              <w:jc w:val="center"/>
              <w:rPr>
                <w:sz w:val="18"/>
                <w:szCs w:val="18"/>
              </w:rPr>
            </w:pPr>
            <w:r>
              <w:rPr>
                <w:rFonts w:hAnsi="宋体"/>
                <w:sz w:val="18"/>
                <w:szCs w:val="18"/>
              </w:rPr>
              <w:t>施工现场</w:t>
            </w:r>
          </w:p>
        </w:tc>
        <w:tc>
          <w:tcPr>
            <w:tcW w:w="1429" w:type="pct"/>
          </w:tcPr>
          <w:p w14:paraId="753400FC">
            <w:pPr>
              <w:jc w:val="center"/>
              <w:rPr>
                <w:sz w:val="18"/>
                <w:szCs w:val="18"/>
              </w:rPr>
            </w:pPr>
            <w:r>
              <w:rPr>
                <w:sz w:val="18"/>
                <w:szCs w:val="18"/>
              </w:rPr>
              <w:t>120</w:t>
            </w:r>
          </w:p>
        </w:tc>
        <w:tc>
          <w:tcPr>
            <w:tcW w:w="1366" w:type="pct"/>
          </w:tcPr>
          <w:p w14:paraId="753400FD">
            <w:pPr>
              <w:jc w:val="center"/>
              <w:rPr>
                <w:sz w:val="18"/>
                <w:szCs w:val="18"/>
              </w:rPr>
            </w:pPr>
            <w:r>
              <w:rPr>
                <w:sz w:val="18"/>
                <w:szCs w:val="18"/>
              </w:rPr>
              <w:t>90</w:t>
            </w:r>
          </w:p>
        </w:tc>
      </w:tr>
      <w:tr w14:paraId="75340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05" w:type="pct"/>
          </w:tcPr>
          <w:p w14:paraId="753400FF">
            <w:pPr>
              <w:jc w:val="center"/>
              <w:rPr>
                <w:sz w:val="18"/>
                <w:szCs w:val="18"/>
              </w:rPr>
            </w:pPr>
            <w:r>
              <w:rPr>
                <w:rFonts w:hAnsi="宋体"/>
                <w:sz w:val="18"/>
                <w:szCs w:val="18"/>
              </w:rPr>
              <w:t>混凝土制品厂</w:t>
            </w:r>
          </w:p>
        </w:tc>
        <w:tc>
          <w:tcPr>
            <w:tcW w:w="1429" w:type="pct"/>
          </w:tcPr>
          <w:p w14:paraId="75340100">
            <w:pPr>
              <w:jc w:val="center"/>
              <w:rPr>
                <w:sz w:val="18"/>
                <w:szCs w:val="18"/>
              </w:rPr>
            </w:pPr>
            <w:r>
              <w:rPr>
                <w:sz w:val="18"/>
                <w:szCs w:val="18"/>
              </w:rPr>
              <w:t>90</w:t>
            </w:r>
          </w:p>
        </w:tc>
        <w:tc>
          <w:tcPr>
            <w:tcW w:w="1366" w:type="pct"/>
          </w:tcPr>
          <w:p w14:paraId="75340101">
            <w:pPr>
              <w:jc w:val="center"/>
              <w:rPr>
                <w:sz w:val="18"/>
                <w:szCs w:val="18"/>
              </w:rPr>
            </w:pPr>
            <w:r>
              <w:rPr>
                <w:sz w:val="18"/>
                <w:szCs w:val="18"/>
              </w:rPr>
              <w:t>60</w:t>
            </w:r>
          </w:p>
        </w:tc>
      </w:tr>
    </w:tbl>
    <w:p w14:paraId="75340103">
      <w:pPr>
        <w:spacing w:line="300" w:lineRule="auto"/>
        <w:rPr>
          <w:szCs w:val="21"/>
        </w:rPr>
      </w:pPr>
      <w:r>
        <w:rPr>
          <w:b/>
          <w:szCs w:val="21"/>
        </w:rPr>
        <w:t>6.6.</w:t>
      </w:r>
      <w:r>
        <w:rPr>
          <w:rFonts w:hint="eastAsia"/>
          <w:b/>
          <w:szCs w:val="21"/>
        </w:rPr>
        <w:t>15</w:t>
      </w:r>
      <w:r>
        <w:rPr>
          <w:b/>
          <w:szCs w:val="21"/>
        </w:rPr>
        <w:t xml:space="preserve"> </w:t>
      </w:r>
      <w:r>
        <w:rPr>
          <w:szCs w:val="21"/>
        </w:rPr>
        <w:t xml:space="preserve"> </w:t>
      </w:r>
      <w:r>
        <w:rPr>
          <w:rFonts w:hAnsi="宋体"/>
          <w:szCs w:val="21"/>
        </w:rPr>
        <w:t>在混凝土浇筑同时，应制作供结构或构件出池、拆模、吊装、张拉、放张和强度合格评定用的同条件养护试件，</w:t>
      </w:r>
      <w:r>
        <w:rPr>
          <w:rFonts w:hint="eastAsia" w:hAnsi="宋体"/>
          <w:szCs w:val="21"/>
        </w:rPr>
        <w:t>并</w:t>
      </w:r>
      <w:r>
        <w:rPr>
          <w:rFonts w:hAnsi="宋体"/>
          <w:szCs w:val="21"/>
        </w:rPr>
        <w:t>应按设计要求制作抗冻、抗渗或其他性能试验用的试件。</w:t>
      </w:r>
    </w:p>
    <w:p w14:paraId="75340104">
      <w:pPr>
        <w:spacing w:line="300" w:lineRule="auto"/>
        <w:rPr>
          <w:szCs w:val="21"/>
        </w:rPr>
      </w:pPr>
      <w:r>
        <w:rPr>
          <w:b/>
          <w:szCs w:val="21"/>
        </w:rPr>
        <w:t>6.6.</w:t>
      </w:r>
      <w:r>
        <w:rPr>
          <w:rFonts w:hint="eastAsia"/>
          <w:b/>
          <w:szCs w:val="21"/>
        </w:rPr>
        <w:t>16</w:t>
      </w:r>
      <w:r>
        <w:rPr>
          <w:b/>
          <w:szCs w:val="21"/>
        </w:rPr>
        <w:t xml:space="preserve"> </w:t>
      </w:r>
      <w:r>
        <w:rPr>
          <w:szCs w:val="21"/>
        </w:rPr>
        <w:t xml:space="preserve"> </w:t>
      </w:r>
      <w:r>
        <w:rPr>
          <w:rFonts w:hAnsi="宋体"/>
          <w:szCs w:val="21"/>
        </w:rPr>
        <w:t>在混凝土浇筑及静置过程中，应在混凝土终凝前对浇筑面进行抹面</w:t>
      </w:r>
      <w:r>
        <w:rPr>
          <w:rStyle w:val="22"/>
          <w:rFonts w:hint="eastAsia"/>
        </w:rPr>
        <w:t>与保湿</w:t>
      </w:r>
      <w:r>
        <w:rPr>
          <w:rFonts w:hAnsi="宋体"/>
          <w:szCs w:val="21"/>
        </w:rPr>
        <w:t>处理。</w:t>
      </w:r>
    </w:p>
    <w:p w14:paraId="75340105">
      <w:pPr>
        <w:spacing w:line="300" w:lineRule="auto"/>
        <w:rPr>
          <w:rFonts w:hint="eastAsia" w:hAnsi="宋体"/>
          <w:szCs w:val="21"/>
        </w:rPr>
      </w:pPr>
      <w:r>
        <w:rPr>
          <w:b/>
          <w:szCs w:val="21"/>
        </w:rPr>
        <w:t>6.6.</w:t>
      </w:r>
      <w:r>
        <w:rPr>
          <w:rFonts w:hint="eastAsia"/>
          <w:b/>
          <w:szCs w:val="21"/>
        </w:rPr>
        <w:t>17</w:t>
      </w:r>
      <w:r>
        <w:rPr>
          <w:szCs w:val="21"/>
        </w:rPr>
        <w:t xml:space="preserve">  </w:t>
      </w:r>
      <w:r>
        <w:rPr>
          <w:rFonts w:hAnsi="宋体"/>
          <w:szCs w:val="21"/>
        </w:rPr>
        <w:t>混凝土构件成型后，在强度达到</w:t>
      </w:r>
      <w:r>
        <w:rPr>
          <w:szCs w:val="21"/>
        </w:rPr>
        <w:t>1.2MPa</w:t>
      </w:r>
      <w:r>
        <w:rPr>
          <w:rFonts w:hAnsi="宋体"/>
          <w:szCs w:val="21"/>
        </w:rPr>
        <w:t>以前，不</w:t>
      </w:r>
      <w:r>
        <w:rPr>
          <w:rFonts w:hint="eastAsia" w:hAnsi="宋体"/>
          <w:szCs w:val="21"/>
        </w:rPr>
        <w:t>应</w:t>
      </w:r>
      <w:r>
        <w:rPr>
          <w:rFonts w:hAnsi="宋体"/>
          <w:szCs w:val="21"/>
        </w:rPr>
        <w:t>在构件上面踩踏行走</w:t>
      </w:r>
      <w:r>
        <w:rPr>
          <w:rFonts w:hint="eastAsia" w:hAnsi="宋体"/>
          <w:szCs w:val="21"/>
        </w:rPr>
        <w:t>；</w:t>
      </w:r>
      <w:r>
        <w:rPr>
          <w:rFonts w:hint="eastAsia"/>
        </w:rPr>
        <w:t>在强度达到</w:t>
      </w:r>
      <w:r>
        <w:t>5MPa</w:t>
      </w:r>
      <w:r>
        <w:rPr>
          <w:rFonts w:hint="eastAsia"/>
        </w:rPr>
        <w:t>以前，不应在上面堆放临时和永久荷载</w:t>
      </w:r>
      <w:r>
        <w:rPr>
          <w:rFonts w:hint="eastAsia" w:hAnsi="宋体"/>
          <w:szCs w:val="21"/>
        </w:rPr>
        <w:t>。</w:t>
      </w:r>
    </w:p>
    <w:p w14:paraId="75340107">
      <w:pPr>
        <w:spacing w:before="312" w:beforeLines="100" w:after="312" w:afterLines="100" w:line="300" w:lineRule="auto"/>
        <w:jc w:val="center"/>
        <w:outlineLvl w:val="1"/>
        <w:rPr>
          <w:bCs/>
          <w:sz w:val="24"/>
        </w:rPr>
      </w:pPr>
      <w:bookmarkStart w:id="141" w:name="_Toc269885303"/>
      <w:bookmarkStart w:id="142" w:name="_Toc268120174"/>
      <w:bookmarkStart w:id="143" w:name="_Toc201943569"/>
      <w:bookmarkStart w:id="144" w:name="_Toc275249822"/>
      <w:bookmarkStart w:id="145" w:name="_Toc268120048"/>
      <w:bookmarkStart w:id="146" w:name="_Toc268678438"/>
      <w:r>
        <w:rPr>
          <w:bCs/>
          <w:sz w:val="24"/>
        </w:rPr>
        <w:t xml:space="preserve">6.7 </w:t>
      </w:r>
      <w:r>
        <w:rPr>
          <w:rFonts w:hint="eastAsia"/>
          <w:bCs/>
          <w:sz w:val="24"/>
        </w:rPr>
        <w:t xml:space="preserve"> </w:t>
      </w:r>
      <w:r>
        <w:rPr>
          <w:rFonts w:hAnsi="宋体"/>
          <w:bCs/>
          <w:sz w:val="24"/>
        </w:rPr>
        <w:t>养护</w:t>
      </w:r>
      <w:bookmarkEnd w:id="141"/>
      <w:bookmarkEnd w:id="142"/>
      <w:bookmarkEnd w:id="143"/>
      <w:bookmarkEnd w:id="144"/>
      <w:bookmarkEnd w:id="145"/>
      <w:bookmarkEnd w:id="146"/>
    </w:p>
    <w:p w14:paraId="75340108">
      <w:pPr>
        <w:spacing w:line="300" w:lineRule="auto"/>
        <w:rPr>
          <w:szCs w:val="21"/>
        </w:rPr>
      </w:pPr>
      <w:r>
        <w:rPr>
          <w:b/>
          <w:szCs w:val="21"/>
        </w:rPr>
        <w:t xml:space="preserve">6.7.1 </w:t>
      </w:r>
      <w:r>
        <w:rPr>
          <w:szCs w:val="21"/>
        </w:rPr>
        <w:t xml:space="preserve"> </w:t>
      </w:r>
      <w:r>
        <w:rPr>
          <w:rFonts w:hAnsi="宋体"/>
          <w:szCs w:val="21"/>
        </w:rPr>
        <w:t>生产和施工单位应根据结构、构件或制品情况、环境条件、原材料情况以及对混凝土性能的要求等，提出施工养护方案或生产养护制度，并应严格执行。</w:t>
      </w:r>
    </w:p>
    <w:p w14:paraId="75340109">
      <w:pPr>
        <w:spacing w:line="300" w:lineRule="auto"/>
        <w:rPr>
          <w:rFonts w:hint="eastAsia" w:hAnsi="宋体"/>
          <w:szCs w:val="21"/>
        </w:rPr>
      </w:pPr>
      <w:r>
        <w:rPr>
          <w:b/>
          <w:szCs w:val="21"/>
        </w:rPr>
        <w:t xml:space="preserve">6.7.2 </w:t>
      </w:r>
      <w:r>
        <w:rPr>
          <w:szCs w:val="21"/>
        </w:rPr>
        <w:t xml:space="preserve"> </w:t>
      </w:r>
      <w:r>
        <w:rPr>
          <w:rFonts w:hAnsi="宋体"/>
          <w:szCs w:val="21"/>
        </w:rPr>
        <w:t>混凝土施工可采用浇水、覆盖保湿、喷涂养护剂、冬季蓄热养护等方法进行养护；混凝土构件或制品厂生产可采用蒸汽养护、湿热养护或潮湿自然养护等方法进行养护。选择的养护方法应满足施工养护方案或生产养护制度的要求。</w:t>
      </w:r>
    </w:p>
    <w:p w14:paraId="7534010A">
      <w:pPr>
        <w:spacing w:line="300" w:lineRule="auto"/>
        <w:rPr>
          <w:szCs w:val="21"/>
        </w:rPr>
      </w:pPr>
      <w:r>
        <w:rPr>
          <w:b/>
          <w:szCs w:val="21"/>
        </w:rPr>
        <w:t xml:space="preserve">6.7.3 </w:t>
      </w:r>
      <w:r>
        <w:rPr>
          <w:szCs w:val="21"/>
        </w:rPr>
        <w:t xml:space="preserve"> </w:t>
      </w:r>
      <w:r>
        <w:rPr>
          <w:rFonts w:hAnsi="宋体"/>
          <w:szCs w:val="21"/>
        </w:rPr>
        <w:t>采用塑料薄膜覆盖养护时，混凝土全部表面应覆盖严密，并应保持膜内有凝结水；采用养护剂养护时，应通过试验检验养护剂的保湿效果。</w:t>
      </w:r>
    </w:p>
    <w:p w14:paraId="7534010B">
      <w:pPr>
        <w:spacing w:line="300" w:lineRule="auto"/>
        <w:rPr>
          <w:szCs w:val="21"/>
        </w:rPr>
      </w:pPr>
      <w:r>
        <w:rPr>
          <w:b/>
          <w:szCs w:val="21"/>
        </w:rPr>
        <w:t xml:space="preserve">6.7.4 </w:t>
      </w:r>
      <w:r>
        <w:rPr>
          <w:szCs w:val="21"/>
        </w:rPr>
        <w:t xml:space="preserve"> </w:t>
      </w:r>
      <w:r>
        <w:rPr>
          <w:rFonts w:hAnsi="宋体"/>
          <w:szCs w:val="21"/>
        </w:rPr>
        <w:t>对于混凝土浇筑面，尤其是平面结构，</w:t>
      </w:r>
      <w:r>
        <w:rPr>
          <w:rFonts w:hint="eastAsia" w:hAnsi="宋体"/>
          <w:szCs w:val="21"/>
        </w:rPr>
        <w:t>宜</w:t>
      </w:r>
      <w:r>
        <w:rPr>
          <w:rFonts w:hAnsi="宋体"/>
          <w:szCs w:val="21"/>
        </w:rPr>
        <w:t>边浇筑成型边采用塑料薄膜覆盖保湿。</w:t>
      </w:r>
    </w:p>
    <w:p w14:paraId="7534010C">
      <w:pPr>
        <w:pStyle w:val="29"/>
        <w:spacing w:line="300" w:lineRule="auto"/>
        <w:ind w:firstLine="0" w:firstLineChars="0"/>
        <w:rPr>
          <w:sz w:val="21"/>
          <w:szCs w:val="21"/>
        </w:rPr>
      </w:pPr>
      <w:r>
        <w:rPr>
          <w:b/>
          <w:sz w:val="21"/>
          <w:szCs w:val="21"/>
        </w:rPr>
        <w:t>6.7.5</w:t>
      </w:r>
      <w:r>
        <w:rPr>
          <w:sz w:val="21"/>
          <w:szCs w:val="21"/>
        </w:rPr>
        <w:t xml:space="preserve">  </w:t>
      </w:r>
      <w:r>
        <w:rPr>
          <w:rFonts w:hAnsi="宋体"/>
          <w:sz w:val="21"/>
          <w:szCs w:val="21"/>
        </w:rPr>
        <w:t>混凝土施工养护时间应符合下列规定：</w:t>
      </w:r>
    </w:p>
    <w:p w14:paraId="7534010D">
      <w:pPr>
        <w:pStyle w:val="29"/>
        <w:spacing w:line="300" w:lineRule="auto"/>
        <w:ind w:firstLine="420"/>
        <w:rPr>
          <w:sz w:val="21"/>
          <w:szCs w:val="21"/>
          <w:lang w:val="ru-RU"/>
        </w:rPr>
      </w:pPr>
      <w:r>
        <w:rPr>
          <w:sz w:val="21"/>
          <w:szCs w:val="21"/>
          <w:lang w:val="ru-RU"/>
        </w:rPr>
        <w:t>1</w:t>
      </w:r>
      <w:r>
        <w:rPr>
          <w:rFonts w:hint="eastAsia"/>
          <w:szCs w:val="21"/>
        </w:rPr>
        <w:t xml:space="preserve"> </w:t>
      </w:r>
      <w:r>
        <w:rPr>
          <w:rFonts w:hAnsi="宋体"/>
          <w:sz w:val="21"/>
          <w:szCs w:val="21"/>
        </w:rPr>
        <w:t>对于</w:t>
      </w:r>
      <w:r>
        <w:rPr>
          <w:rFonts w:hAnsi="宋体"/>
          <w:sz w:val="21"/>
          <w:szCs w:val="21"/>
          <w:lang w:val="ru-RU"/>
        </w:rPr>
        <w:t>采用硅酸盐水泥、普通硅酸盐水泥或矿渣硅酸盐水泥配制的混凝土，采用</w:t>
      </w:r>
      <w:r>
        <w:rPr>
          <w:rFonts w:hAnsi="宋体"/>
          <w:sz w:val="21"/>
          <w:szCs w:val="21"/>
        </w:rPr>
        <w:t>浇水和潮湿覆盖的养护</w:t>
      </w:r>
      <w:r>
        <w:rPr>
          <w:rFonts w:hAnsi="宋体"/>
          <w:sz w:val="21"/>
          <w:szCs w:val="21"/>
          <w:lang w:val="ru-RU"/>
        </w:rPr>
        <w:t>时间不得少于</w:t>
      </w:r>
      <w:r>
        <w:rPr>
          <w:sz w:val="21"/>
          <w:szCs w:val="21"/>
          <w:lang w:val="ru-RU"/>
        </w:rPr>
        <w:t>7d</w:t>
      </w:r>
      <w:r>
        <w:rPr>
          <w:rFonts w:hAnsi="宋体"/>
          <w:sz w:val="21"/>
          <w:szCs w:val="21"/>
          <w:lang w:val="ru-RU"/>
        </w:rPr>
        <w:t>。</w:t>
      </w:r>
    </w:p>
    <w:p w14:paraId="7534010E">
      <w:pPr>
        <w:pStyle w:val="29"/>
        <w:spacing w:line="300" w:lineRule="auto"/>
        <w:ind w:firstLine="420"/>
        <w:rPr>
          <w:sz w:val="21"/>
          <w:szCs w:val="21"/>
          <w:lang w:val="ru-RU"/>
        </w:rPr>
      </w:pPr>
      <w:r>
        <w:rPr>
          <w:sz w:val="21"/>
          <w:szCs w:val="21"/>
          <w:lang w:val="ru-RU"/>
        </w:rPr>
        <w:t>2</w:t>
      </w:r>
      <w:r>
        <w:rPr>
          <w:rFonts w:hint="eastAsia"/>
          <w:szCs w:val="21"/>
        </w:rPr>
        <w:t xml:space="preserve"> </w:t>
      </w:r>
      <w:r>
        <w:rPr>
          <w:rFonts w:hAnsi="宋体"/>
          <w:sz w:val="21"/>
          <w:szCs w:val="21"/>
        </w:rPr>
        <w:t>对于</w:t>
      </w:r>
      <w:r>
        <w:rPr>
          <w:rFonts w:hAnsi="宋体"/>
          <w:sz w:val="21"/>
          <w:szCs w:val="21"/>
          <w:lang w:val="ru-RU"/>
        </w:rPr>
        <w:t>采用粉煤灰硅酸盐水泥、火山灰</w:t>
      </w:r>
      <w:r>
        <w:rPr>
          <w:rFonts w:hint="eastAsia" w:hAnsi="宋体"/>
          <w:sz w:val="21"/>
          <w:szCs w:val="21"/>
          <w:lang w:val="ru-RU"/>
        </w:rPr>
        <w:t>质</w:t>
      </w:r>
      <w:r>
        <w:rPr>
          <w:rFonts w:hAnsi="宋体"/>
          <w:sz w:val="21"/>
          <w:szCs w:val="21"/>
          <w:lang w:val="ru-RU"/>
        </w:rPr>
        <w:t>硅酸盐水泥、复合硅酸盐水泥配制的混凝土，或掺加缓凝剂的混凝土以及大掺量矿物掺合料混凝土，采用</w:t>
      </w:r>
      <w:r>
        <w:rPr>
          <w:rFonts w:hAnsi="宋体"/>
          <w:sz w:val="21"/>
          <w:szCs w:val="21"/>
        </w:rPr>
        <w:t>浇水和潮湿覆盖的养护</w:t>
      </w:r>
      <w:r>
        <w:rPr>
          <w:rFonts w:hAnsi="宋体"/>
          <w:sz w:val="21"/>
          <w:szCs w:val="21"/>
          <w:lang w:val="ru-RU"/>
        </w:rPr>
        <w:t>时间不得少于</w:t>
      </w:r>
      <w:r>
        <w:rPr>
          <w:sz w:val="21"/>
          <w:szCs w:val="21"/>
          <w:lang w:val="ru-RU"/>
        </w:rPr>
        <w:t>14d</w:t>
      </w:r>
      <w:r>
        <w:rPr>
          <w:rFonts w:hAnsi="宋体"/>
          <w:sz w:val="21"/>
          <w:szCs w:val="21"/>
          <w:lang w:val="ru-RU"/>
        </w:rPr>
        <w:t>。</w:t>
      </w:r>
    </w:p>
    <w:p w14:paraId="7534010F">
      <w:pPr>
        <w:pStyle w:val="29"/>
        <w:spacing w:line="300" w:lineRule="auto"/>
        <w:ind w:firstLine="420"/>
        <w:rPr>
          <w:rFonts w:hint="eastAsia" w:hAnsi="宋体"/>
          <w:sz w:val="21"/>
          <w:szCs w:val="21"/>
          <w:lang w:val="ru-RU"/>
        </w:rPr>
      </w:pPr>
      <w:r>
        <w:rPr>
          <w:sz w:val="21"/>
          <w:szCs w:val="21"/>
          <w:lang w:val="ru-RU"/>
        </w:rPr>
        <w:t>3</w:t>
      </w:r>
      <w:r>
        <w:rPr>
          <w:rFonts w:hint="eastAsia"/>
          <w:szCs w:val="21"/>
        </w:rPr>
        <w:t xml:space="preserve"> </w:t>
      </w:r>
      <w:r>
        <w:rPr>
          <w:rFonts w:hAnsi="宋体"/>
          <w:sz w:val="21"/>
          <w:szCs w:val="21"/>
          <w:lang w:val="ru-RU"/>
        </w:rPr>
        <w:t>对于竖向混凝土结构，养护时间宜适当延长。</w:t>
      </w:r>
    </w:p>
    <w:p w14:paraId="75340110">
      <w:pPr>
        <w:pStyle w:val="29"/>
        <w:spacing w:line="300" w:lineRule="auto"/>
        <w:ind w:firstLine="420"/>
        <w:rPr>
          <w:rFonts w:hint="eastAsia" w:eastAsia="宋体"/>
          <w:sz w:val="21"/>
          <w:szCs w:val="21"/>
          <w:lang w:eastAsia="zh-CN"/>
        </w:rPr>
      </w:pPr>
      <w:r>
        <w:rPr>
          <w:rFonts w:hint="eastAsia" w:hAnsi="宋体"/>
          <w:sz w:val="21"/>
          <w:szCs w:val="21"/>
        </w:rPr>
        <w:t>4</w:t>
      </w:r>
      <w:r>
        <w:rPr>
          <w:rFonts w:hint="eastAsia" w:hAnsi="宋体"/>
          <w:sz w:val="21"/>
          <w:szCs w:val="21"/>
          <w:lang w:val="en-US" w:eastAsia="zh-CN"/>
        </w:rPr>
        <w:t xml:space="preserve"> </w:t>
      </w:r>
      <w:r>
        <w:rPr>
          <w:rFonts w:hint="eastAsia"/>
          <w:sz w:val="21"/>
          <w:szCs w:val="21"/>
          <w:lang w:val="ru-RU"/>
        </w:rPr>
        <w:t>针对超长结构外墙，拆模时间</w:t>
      </w:r>
      <w:r>
        <w:rPr>
          <w:rFonts w:hAnsi="宋体"/>
          <w:sz w:val="21"/>
          <w:szCs w:val="21"/>
          <w:lang w:val="ru-RU"/>
        </w:rPr>
        <w:t>宜</w:t>
      </w:r>
      <w:r>
        <w:rPr>
          <w:rFonts w:hint="eastAsia"/>
          <w:sz w:val="21"/>
          <w:szCs w:val="21"/>
          <w:lang w:val="ru-RU"/>
        </w:rPr>
        <w:t>延</w:t>
      </w:r>
      <w:r>
        <w:rPr>
          <w:rFonts w:hint="eastAsia"/>
          <w:sz w:val="21"/>
          <w:szCs w:val="21"/>
        </w:rPr>
        <w:t>长</w:t>
      </w:r>
      <w:r>
        <w:rPr>
          <w:rFonts w:hint="eastAsia"/>
          <w:sz w:val="21"/>
          <w:szCs w:val="21"/>
          <w:lang w:val="ru-RU"/>
        </w:rPr>
        <w:t>至28d，墙面上方</w:t>
      </w:r>
      <w:r>
        <w:rPr>
          <w:rFonts w:hint="eastAsia"/>
          <w:sz w:val="21"/>
          <w:szCs w:val="21"/>
        </w:rPr>
        <w:t>宜</w:t>
      </w:r>
      <w:r>
        <w:rPr>
          <w:rFonts w:hint="eastAsia"/>
          <w:sz w:val="21"/>
          <w:szCs w:val="21"/>
          <w:lang w:val="ru-RU"/>
        </w:rPr>
        <w:t>增加喷淋保湿</w:t>
      </w:r>
      <w:r>
        <w:rPr>
          <w:rFonts w:hint="eastAsia"/>
          <w:sz w:val="21"/>
          <w:szCs w:val="21"/>
          <w:lang w:val="ru-RU" w:eastAsia="zh-CN"/>
        </w:rPr>
        <w:t>。</w:t>
      </w:r>
    </w:p>
    <w:p w14:paraId="75340111">
      <w:pPr>
        <w:pStyle w:val="29"/>
        <w:spacing w:line="300" w:lineRule="auto"/>
        <w:ind w:firstLine="420"/>
        <w:rPr>
          <w:sz w:val="21"/>
          <w:szCs w:val="21"/>
          <w:lang w:val="ru-RU"/>
        </w:rPr>
      </w:pPr>
      <w:r>
        <w:rPr>
          <w:rFonts w:hint="eastAsia"/>
          <w:sz w:val="21"/>
          <w:szCs w:val="21"/>
        </w:rPr>
        <w:t>5 养护初始起点可为振捣结束收面后、</w:t>
      </w:r>
      <w:r>
        <w:rPr>
          <w:rFonts w:hint="eastAsia"/>
          <w:sz w:val="21"/>
          <w:szCs w:val="21"/>
          <w:lang w:val="ru-RU"/>
        </w:rPr>
        <w:t>肉眼观察到混凝土暴露面泌水光泽消失时。</w:t>
      </w:r>
    </w:p>
    <w:p w14:paraId="75340112">
      <w:pPr>
        <w:pStyle w:val="29"/>
        <w:spacing w:line="300" w:lineRule="auto"/>
        <w:ind w:firstLine="0" w:firstLineChars="0"/>
        <w:rPr>
          <w:sz w:val="21"/>
          <w:szCs w:val="21"/>
        </w:rPr>
      </w:pPr>
      <w:r>
        <w:rPr>
          <w:b/>
          <w:sz w:val="21"/>
          <w:szCs w:val="21"/>
        </w:rPr>
        <w:t xml:space="preserve">6.7.6 </w:t>
      </w:r>
      <w:r>
        <w:rPr>
          <w:sz w:val="21"/>
          <w:szCs w:val="21"/>
        </w:rPr>
        <w:t xml:space="preserve"> </w:t>
      </w:r>
      <w:r>
        <w:rPr>
          <w:rFonts w:hAnsi="宋体"/>
          <w:sz w:val="21"/>
          <w:szCs w:val="21"/>
        </w:rPr>
        <w:t>混凝土构件或制品厂的混凝土养护应符合下列规定：</w:t>
      </w:r>
    </w:p>
    <w:p w14:paraId="75340113">
      <w:pPr>
        <w:pStyle w:val="29"/>
        <w:spacing w:line="300" w:lineRule="auto"/>
        <w:ind w:firstLine="480" w:firstLineChars="0"/>
        <w:rPr>
          <w:sz w:val="21"/>
          <w:szCs w:val="21"/>
        </w:rPr>
      </w:pPr>
      <w:r>
        <w:rPr>
          <w:sz w:val="21"/>
          <w:szCs w:val="21"/>
          <w:lang w:val="ru-RU"/>
        </w:rPr>
        <w:t>1</w:t>
      </w:r>
      <w:r>
        <w:rPr>
          <w:rFonts w:hint="eastAsia"/>
          <w:szCs w:val="21"/>
        </w:rPr>
        <w:t xml:space="preserve"> </w:t>
      </w:r>
      <w:r>
        <w:rPr>
          <w:rFonts w:hAnsi="宋体"/>
          <w:sz w:val="21"/>
          <w:szCs w:val="21"/>
        </w:rPr>
        <w:t>采用蒸汽养护或湿热养护时，养护时间和养护制度应满足混凝土及其制品性能的要求。</w:t>
      </w:r>
    </w:p>
    <w:p w14:paraId="75340114">
      <w:pPr>
        <w:pStyle w:val="29"/>
        <w:spacing w:line="300" w:lineRule="auto"/>
        <w:ind w:firstLine="420"/>
        <w:rPr>
          <w:rFonts w:hint="eastAsia" w:hAnsi="宋体"/>
          <w:sz w:val="21"/>
          <w:szCs w:val="21"/>
        </w:rPr>
      </w:pPr>
      <w:r>
        <w:rPr>
          <w:rFonts w:hAnsi="宋体"/>
          <w:sz w:val="21"/>
          <w:szCs w:val="21"/>
        </w:rPr>
        <w:t>2 采用蒸汽养护时，应分为静停、升温、恒温和降温四个养护阶段。混凝土成型后的静</w:t>
      </w:r>
      <w:r>
        <w:rPr>
          <w:sz w:val="21"/>
          <w:szCs w:val="21"/>
        </w:rPr>
        <w:t>停时间不宜少于2h，升温速度不宜超过25℃/h，降温速度不宜超过20℃/h，最高和恒温温度不宜超过65℃；混凝土构件或制品在出池或撤除养护措施前，应进行温度测量，当表面与外界温差不大于20℃时，构件</w:t>
      </w:r>
      <w:r>
        <w:rPr>
          <w:rFonts w:hAnsi="宋体"/>
          <w:sz w:val="21"/>
          <w:szCs w:val="21"/>
        </w:rPr>
        <w:t>方可出池或撤除养护措施。</w:t>
      </w:r>
    </w:p>
    <w:p w14:paraId="75340115">
      <w:pPr>
        <w:pStyle w:val="29"/>
        <w:spacing w:line="300" w:lineRule="auto"/>
        <w:ind w:firstLine="420"/>
        <w:rPr>
          <w:sz w:val="21"/>
          <w:szCs w:val="21"/>
        </w:rPr>
      </w:pPr>
      <w:r>
        <w:rPr>
          <w:sz w:val="21"/>
          <w:szCs w:val="21"/>
        </w:rPr>
        <w:t>3</w:t>
      </w:r>
      <w:r>
        <w:rPr>
          <w:rFonts w:hint="eastAsia"/>
          <w:szCs w:val="21"/>
        </w:rPr>
        <w:t xml:space="preserve"> </w:t>
      </w:r>
      <w:r>
        <w:rPr>
          <w:rFonts w:hAnsi="宋体"/>
          <w:sz w:val="21"/>
          <w:szCs w:val="21"/>
        </w:rPr>
        <w:t>采用潮湿自然养护时，应符合本节第</w:t>
      </w:r>
      <w:r>
        <w:rPr>
          <w:sz w:val="21"/>
          <w:szCs w:val="21"/>
        </w:rPr>
        <w:t>6.7.2</w:t>
      </w:r>
      <w:r>
        <w:rPr>
          <w:rFonts w:hAnsi="宋体"/>
          <w:sz w:val="21"/>
          <w:szCs w:val="21"/>
        </w:rPr>
        <w:t>条～</w:t>
      </w:r>
      <w:r>
        <w:rPr>
          <w:sz w:val="21"/>
          <w:szCs w:val="21"/>
        </w:rPr>
        <w:t>6.7.5</w:t>
      </w:r>
      <w:r>
        <w:rPr>
          <w:rFonts w:hAnsi="宋体"/>
          <w:sz w:val="21"/>
          <w:szCs w:val="21"/>
        </w:rPr>
        <w:t>条的规定。</w:t>
      </w:r>
    </w:p>
    <w:p w14:paraId="75340116">
      <w:pPr>
        <w:spacing w:line="300" w:lineRule="auto"/>
        <w:rPr>
          <w:szCs w:val="21"/>
        </w:rPr>
      </w:pPr>
      <w:r>
        <w:rPr>
          <w:b/>
          <w:szCs w:val="21"/>
        </w:rPr>
        <w:t>6.7.7</w:t>
      </w:r>
      <w:r>
        <w:rPr>
          <w:szCs w:val="21"/>
        </w:rPr>
        <w:t xml:space="preserve">  </w:t>
      </w:r>
      <w:r>
        <w:rPr>
          <w:rFonts w:hAnsi="宋体"/>
          <w:szCs w:val="21"/>
        </w:rPr>
        <w:t>对于大体积混凝</w:t>
      </w:r>
      <w:r>
        <w:rPr>
          <w:szCs w:val="21"/>
        </w:rPr>
        <w:t>土，养护过程应进行温度控制，混凝土内部和表面的温差不宜超过25℃，表面与外界温差不宜大于20℃。</w:t>
      </w:r>
    </w:p>
    <w:p w14:paraId="75340118">
      <w:pPr>
        <w:spacing w:line="300" w:lineRule="auto"/>
        <w:rPr>
          <w:szCs w:val="21"/>
        </w:rPr>
      </w:pPr>
      <w:r>
        <w:rPr>
          <w:b/>
          <w:bCs/>
          <w:szCs w:val="21"/>
        </w:rPr>
        <w:t xml:space="preserve">6.7.8  </w:t>
      </w:r>
      <w:r>
        <w:rPr>
          <w:szCs w:val="21"/>
        </w:rPr>
        <w:t>对于冬期施工的混凝土，养护应符合下列规定：</w:t>
      </w:r>
    </w:p>
    <w:p w14:paraId="75340119">
      <w:pPr>
        <w:spacing w:line="300" w:lineRule="auto"/>
        <w:ind w:firstLine="480"/>
        <w:rPr>
          <w:szCs w:val="21"/>
        </w:rPr>
      </w:pPr>
      <w:r>
        <w:rPr>
          <w:szCs w:val="21"/>
        </w:rPr>
        <w:t>1 日均气温低于5℃时，不得采用浇水自然养护方法</w:t>
      </w:r>
      <w:r>
        <w:rPr>
          <w:rFonts w:hAnsi="宋体"/>
          <w:szCs w:val="21"/>
        </w:rPr>
        <w:t>。</w:t>
      </w:r>
    </w:p>
    <w:p w14:paraId="7534011A">
      <w:pPr>
        <w:spacing w:line="300" w:lineRule="auto"/>
        <w:ind w:firstLine="480"/>
        <w:rPr>
          <w:rFonts w:hint="eastAsia" w:hAnsi="宋体"/>
          <w:szCs w:val="21"/>
        </w:rPr>
      </w:pPr>
      <w:r>
        <w:rPr>
          <w:szCs w:val="21"/>
        </w:rPr>
        <w:t>2</w:t>
      </w:r>
      <w:r>
        <w:rPr>
          <w:rFonts w:hint="eastAsia"/>
          <w:szCs w:val="21"/>
        </w:rPr>
        <w:t xml:space="preserve"> </w:t>
      </w:r>
      <w:r>
        <w:rPr>
          <w:rFonts w:hAnsi="宋体"/>
          <w:szCs w:val="21"/>
        </w:rPr>
        <w:t>混凝土受冻前的强度不得低于</w:t>
      </w:r>
      <w:r>
        <w:rPr>
          <w:szCs w:val="21"/>
        </w:rPr>
        <w:t>5MPa</w:t>
      </w:r>
      <w:r>
        <w:rPr>
          <w:rFonts w:hAnsi="宋体"/>
          <w:szCs w:val="21"/>
        </w:rPr>
        <w:t>。</w:t>
      </w:r>
    </w:p>
    <w:p w14:paraId="7534011B">
      <w:pPr>
        <w:spacing w:line="300" w:lineRule="auto"/>
        <w:ind w:firstLine="480"/>
        <w:rPr>
          <w:szCs w:val="21"/>
        </w:rPr>
      </w:pPr>
      <w:r>
        <w:rPr>
          <w:szCs w:val="21"/>
        </w:rPr>
        <w:t>3 模板和保温层应在混凝土冷却到5℃方可拆除，或在混凝土表面温度与外界温度相差不大于20℃时拆模，拆模后的混凝土应及时覆盖，使其缓慢冷却。</w:t>
      </w:r>
    </w:p>
    <w:p w14:paraId="7534011C">
      <w:pPr>
        <w:spacing w:line="300" w:lineRule="auto"/>
        <w:ind w:firstLine="480"/>
        <w:rPr>
          <w:rFonts w:hint="eastAsia" w:hAnsi="宋体"/>
          <w:szCs w:val="21"/>
        </w:rPr>
        <w:sectPr>
          <w:pgSz w:w="11906" w:h="16838"/>
          <w:pgMar w:top="1440" w:right="1800" w:bottom="1440" w:left="1800" w:header="851" w:footer="992" w:gutter="0"/>
          <w:pgNumType w:fmt="decimal"/>
          <w:cols w:space="425" w:num="1"/>
          <w:docGrid w:type="lines" w:linePitch="312" w:charSpace="0"/>
        </w:sectPr>
      </w:pPr>
      <w:r>
        <w:rPr>
          <w:szCs w:val="21"/>
        </w:rPr>
        <w:t>4</w:t>
      </w:r>
      <w:r>
        <w:rPr>
          <w:rFonts w:hint="eastAsia"/>
          <w:szCs w:val="21"/>
        </w:rPr>
        <w:t xml:space="preserve"> </w:t>
      </w:r>
      <w:r>
        <w:rPr>
          <w:rFonts w:hAnsi="宋体"/>
          <w:szCs w:val="21"/>
        </w:rPr>
        <w:t>混凝土强度达到设计强度等级的</w:t>
      </w:r>
      <w:r>
        <w:rPr>
          <w:szCs w:val="21"/>
        </w:rPr>
        <w:t>50%</w:t>
      </w:r>
      <w:r>
        <w:rPr>
          <w:rFonts w:hAnsi="宋体"/>
          <w:szCs w:val="21"/>
        </w:rPr>
        <w:t>时，方可撤除养护措施。</w:t>
      </w:r>
    </w:p>
    <w:p w14:paraId="7534011D">
      <w:pPr>
        <w:pStyle w:val="38"/>
        <w:spacing w:before="312" w:after="312"/>
        <w:rPr>
          <w:b w:val="0"/>
        </w:rPr>
      </w:pPr>
      <w:bookmarkStart w:id="147" w:name="_Toc268678439"/>
      <w:bookmarkStart w:id="148" w:name="_Toc275249823"/>
      <w:bookmarkStart w:id="149" w:name="_Toc201943570"/>
      <w:bookmarkStart w:id="150" w:name="_Toc268120175"/>
      <w:bookmarkStart w:id="151" w:name="_Toc269885304"/>
      <w:bookmarkStart w:id="152" w:name="_Toc268120049"/>
      <w:r>
        <w:rPr>
          <w:b w:val="0"/>
        </w:rPr>
        <w:t xml:space="preserve">7  </w:t>
      </w:r>
      <w:r>
        <w:rPr>
          <w:rFonts w:hAnsi="宋体"/>
          <w:b w:val="0"/>
        </w:rPr>
        <w:t>混凝土质量检验</w:t>
      </w:r>
      <w:bookmarkEnd w:id="147"/>
      <w:bookmarkEnd w:id="148"/>
      <w:bookmarkEnd w:id="149"/>
      <w:bookmarkEnd w:id="150"/>
      <w:bookmarkEnd w:id="151"/>
      <w:bookmarkEnd w:id="152"/>
    </w:p>
    <w:p w14:paraId="7534011E">
      <w:pPr>
        <w:spacing w:before="312" w:beforeLines="100" w:after="312" w:afterLines="100" w:line="300" w:lineRule="auto"/>
        <w:jc w:val="center"/>
        <w:outlineLvl w:val="1"/>
        <w:rPr>
          <w:bCs/>
          <w:sz w:val="24"/>
        </w:rPr>
      </w:pPr>
      <w:bookmarkStart w:id="153" w:name="_Toc175973444"/>
      <w:bookmarkStart w:id="154" w:name="_Toc268120050"/>
      <w:bookmarkStart w:id="155" w:name="_Toc269885305"/>
      <w:bookmarkStart w:id="156" w:name="_Toc245290396"/>
      <w:bookmarkStart w:id="157" w:name="_Toc245290874"/>
      <w:bookmarkStart w:id="158" w:name="_Toc268678440"/>
      <w:bookmarkStart w:id="159" w:name="_Toc242936872"/>
      <w:bookmarkStart w:id="160" w:name="_Toc268120176"/>
      <w:bookmarkStart w:id="161" w:name="_Toc245291087"/>
      <w:bookmarkStart w:id="162" w:name="_Toc243285266"/>
      <w:bookmarkStart w:id="163" w:name="_Toc275249824"/>
      <w:bookmarkStart w:id="164" w:name="_Toc236925635"/>
      <w:bookmarkStart w:id="165" w:name="_Toc238356698"/>
      <w:bookmarkStart w:id="166" w:name="_Toc237336845"/>
      <w:r>
        <w:rPr>
          <w:rFonts w:hint="eastAsia"/>
          <w:bCs/>
          <w:sz w:val="24"/>
        </w:rPr>
        <w:t xml:space="preserve"> </w:t>
      </w:r>
      <w:bookmarkStart w:id="167" w:name="_Toc201943571"/>
      <w:r>
        <w:rPr>
          <w:bCs/>
          <w:sz w:val="24"/>
        </w:rPr>
        <w:t>7.</w:t>
      </w:r>
      <w:bookmarkEnd w:id="153"/>
      <w:r>
        <w:rPr>
          <w:bCs/>
          <w:sz w:val="24"/>
        </w:rPr>
        <w:t xml:space="preserve">1 </w:t>
      </w:r>
      <w:r>
        <w:rPr>
          <w:rFonts w:hint="eastAsia"/>
          <w:bCs/>
          <w:sz w:val="24"/>
        </w:rPr>
        <w:t xml:space="preserve"> </w:t>
      </w:r>
      <w:r>
        <w:rPr>
          <w:rFonts w:hAnsi="宋体"/>
          <w:bCs/>
          <w:sz w:val="24"/>
        </w:rPr>
        <w:t>混凝土原材料质量检验</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7534011F">
      <w:pPr>
        <w:spacing w:line="300" w:lineRule="auto"/>
      </w:pPr>
      <w:bookmarkStart w:id="168" w:name="_Toc243285267"/>
      <w:r>
        <w:rPr>
          <w:b/>
          <w:szCs w:val="21"/>
        </w:rPr>
        <w:t xml:space="preserve">7.1.1 </w:t>
      </w:r>
      <w:r>
        <w:t xml:space="preserve"> </w:t>
      </w:r>
      <w:r>
        <w:rPr>
          <w:rFonts w:hAnsi="宋体"/>
        </w:rPr>
        <w:t>原材料进场时，</w:t>
      </w:r>
      <w:bookmarkStart w:id="169" w:name="OLE_LINK8"/>
      <w:bookmarkStart w:id="170" w:name="OLE_LINK7"/>
      <w:r>
        <w:rPr>
          <w:rFonts w:hAnsi="宋体"/>
        </w:rPr>
        <w:t>应按规定批次验收型式检验报告、出厂检验报告或合格证等质量证明文件</w:t>
      </w:r>
      <w:bookmarkEnd w:id="169"/>
      <w:bookmarkEnd w:id="170"/>
      <w:r>
        <w:rPr>
          <w:rFonts w:hAnsi="宋体"/>
        </w:rPr>
        <w:t>，外加剂产品还应具有使用说明书。</w:t>
      </w:r>
      <w:bookmarkEnd w:id="168"/>
    </w:p>
    <w:p w14:paraId="75340120">
      <w:pPr>
        <w:spacing w:line="300" w:lineRule="auto"/>
        <w:rPr>
          <w:rFonts w:hint="eastAsia" w:hAnsi="宋体"/>
        </w:rPr>
      </w:pPr>
      <w:bookmarkStart w:id="171" w:name="_Toc243285268"/>
      <w:r>
        <w:rPr>
          <w:b/>
          <w:szCs w:val="21"/>
        </w:rPr>
        <w:t xml:space="preserve">7.1.2 </w:t>
      </w:r>
      <w:r>
        <w:rPr>
          <w:szCs w:val="21"/>
        </w:rPr>
        <w:t xml:space="preserve"> </w:t>
      </w:r>
      <w:r>
        <w:rPr>
          <w:rFonts w:hAnsi="宋体"/>
          <w:szCs w:val="21"/>
        </w:rPr>
        <w:t>混凝土</w:t>
      </w:r>
      <w:r>
        <w:rPr>
          <w:rFonts w:hAnsi="宋体"/>
        </w:rPr>
        <w:t>原材料进场时应进行检验，检验样品应随机抽取。</w:t>
      </w:r>
      <w:bookmarkEnd w:id="171"/>
    </w:p>
    <w:p w14:paraId="75340121">
      <w:pPr>
        <w:spacing w:line="300" w:lineRule="auto"/>
      </w:pPr>
      <w:bookmarkStart w:id="172" w:name="_Toc243285269"/>
      <w:r>
        <w:rPr>
          <w:b/>
          <w:szCs w:val="21"/>
        </w:rPr>
        <w:t>7.1.3</w:t>
      </w:r>
      <w:bookmarkEnd w:id="172"/>
      <w:bookmarkStart w:id="173" w:name="_Toc243285272"/>
      <w:r>
        <w:t xml:space="preserve">  </w:t>
      </w:r>
      <w:r>
        <w:rPr>
          <w:rFonts w:hAnsi="宋体"/>
          <w:bCs/>
          <w:szCs w:val="21"/>
        </w:rPr>
        <w:t>混凝土</w:t>
      </w:r>
      <w:r>
        <w:rPr>
          <w:rFonts w:hAnsi="宋体"/>
        </w:rPr>
        <w:t>原材料的检验批量应符合下列规定：</w:t>
      </w:r>
      <w:bookmarkEnd w:id="173"/>
    </w:p>
    <w:p w14:paraId="75340122">
      <w:pPr>
        <w:spacing w:line="300" w:lineRule="auto"/>
        <w:ind w:firstLine="420" w:firstLineChars="200"/>
        <w:rPr>
          <w:rFonts w:hint="eastAsia" w:hAnsi="宋体" w:eastAsia="宋体"/>
          <w:lang w:eastAsia="zh-CN"/>
        </w:rPr>
      </w:pPr>
      <w:bookmarkStart w:id="174" w:name="_Toc243285274"/>
      <w:r>
        <w:t>1</w:t>
      </w:r>
      <w:r>
        <w:rPr>
          <w:rFonts w:hint="eastAsia"/>
          <w:szCs w:val="21"/>
        </w:rPr>
        <w:t xml:space="preserve"> </w:t>
      </w:r>
      <w:r>
        <w:rPr>
          <w:rFonts w:hAnsi="宋体"/>
        </w:rPr>
        <w:t>散装水泥应按每</w:t>
      </w:r>
      <w:r>
        <w:t>500t</w:t>
      </w:r>
      <w:r>
        <w:rPr>
          <w:rFonts w:hAnsi="宋体"/>
        </w:rPr>
        <w:t>为一个检验批；袋装水泥应按每</w:t>
      </w:r>
      <w:r>
        <w:t>200t</w:t>
      </w:r>
      <w:r>
        <w:rPr>
          <w:rFonts w:hAnsi="宋体"/>
        </w:rPr>
        <w:t>为一个检验批；粉煤灰或粒化高炉矿渣粉等矿物掺合料应按每</w:t>
      </w:r>
      <w:r>
        <w:t>200t</w:t>
      </w:r>
      <w:r>
        <w:rPr>
          <w:rFonts w:hAnsi="宋体"/>
        </w:rPr>
        <w:t>为一个检验批；硅灰应按每</w:t>
      </w:r>
      <w:r>
        <w:t>40t</w:t>
      </w:r>
      <w:r>
        <w:rPr>
          <w:rFonts w:hAnsi="宋体"/>
        </w:rPr>
        <w:t>为一个检验批；砂、石骨料应按每</w:t>
      </w:r>
      <w:r>
        <w:rPr>
          <w:rFonts w:hint="eastAsia"/>
        </w:rPr>
        <w:t>2000</w:t>
      </w:r>
      <w:r>
        <w:t>t</w:t>
      </w:r>
      <w:r>
        <w:rPr>
          <w:rFonts w:hAnsi="宋体"/>
        </w:rPr>
        <w:t>为一个检验批；外加剂应按每</w:t>
      </w:r>
      <w:r>
        <w:t>50t</w:t>
      </w:r>
      <w:r>
        <w:rPr>
          <w:rFonts w:hAnsi="宋体"/>
        </w:rPr>
        <w:t>为一个检验批</w:t>
      </w:r>
      <w:r>
        <w:rPr>
          <w:rFonts w:hint="eastAsia" w:hAnsi="宋体"/>
          <w:lang w:eastAsia="zh-CN"/>
        </w:rPr>
        <w:t>。</w:t>
      </w:r>
    </w:p>
    <w:p w14:paraId="75340123">
      <w:pPr>
        <w:spacing w:line="300" w:lineRule="auto"/>
        <w:ind w:firstLine="420" w:firstLineChars="200"/>
        <w:rPr>
          <w:rFonts w:hint="eastAsia" w:hAnsi="宋体" w:eastAsia="宋体"/>
          <w:lang w:eastAsia="zh-CN"/>
        </w:rPr>
      </w:pPr>
      <w:r>
        <w:rPr>
          <w:rFonts w:hAnsi="宋体"/>
        </w:rPr>
        <w:t>2 水应</w:t>
      </w:r>
      <w:r>
        <w:rPr>
          <w:rFonts w:hint="eastAsia" w:hAnsi="宋体"/>
        </w:rPr>
        <w:t>在</w:t>
      </w:r>
      <w:r>
        <w:rPr>
          <w:rFonts w:hAnsi="宋体"/>
        </w:rPr>
        <w:t>同一水源</w:t>
      </w:r>
      <w:r>
        <w:rPr>
          <w:rFonts w:hint="eastAsia" w:hAnsi="宋体"/>
        </w:rPr>
        <w:t>使用前进行检验，使用期间宜按</w:t>
      </w:r>
      <w:bookmarkEnd w:id="174"/>
      <w:r>
        <w:rPr>
          <w:rFonts w:hint="eastAsia" w:hAnsi="宋体"/>
        </w:rPr>
        <w:t>下列频率检验</w:t>
      </w:r>
      <w:r>
        <w:rPr>
          <w:rFonts w:hint="eastAsia" w:hAnsi="宋体"/>
          <w:lang w:eastAsia="zh-CN"/>
        </w:rPr>
        <w:t>：</w:t>
      </w:r>
    </w:p>
    <w:p w14:paraId="75340124">
      <w:pPr>
        <w:numPr>
          <w:ilvl w:val="0"/>
          <w:numId w:val="1"/>
        </w:numPr>
        <w:spacing w:line="300" w:lineRule="auto"/>
        <w:ind w:firstLine="420" w:firstLineChars="200"/>
        <w:rPr>
          <w:rFonts w:hint="eastAsia" w:hAnsi="宋体"/>
        </w:rPr>
      </w:pPr>
      <w:r>
        <w:rPr>
          <w:rFonts w:hint="eastAsia" w:hAnsi="宋体"/>
        </w:rPr>
        <w:t>地表水每</w:t>
      </w:r>
      <w:r>
        <w:rPr>
          <w:rFonts w:hAnsi="宋体"/>
        </w:rPr>
        <w:t>6</w:t>
      </w:r>
      <w:r>
        <w:rPr>
          <w:rFonts w:hint="eastAsia" w:hAnsi="宋体"/>
        </w:rPr>
        <w:t>个月检验一次。</w:t>
      </w:r>
    </w:p>
    <w:p w14:paraId="75340125">
      <w:pPr>
        <w:numPr>
          <w:ilvl w:val="0"/>
          <w:numId w:val="1"/>
        </w:numPr>
        <w:spacing w:line="300" w:lineRule="auto"/>
        <w:ind w:firstLine="420" w:firstLineChars="200"/>
        <w:rPr>
          <w:rFonts w:hint="eastAsia" w:hAnsi="宋体"/>
        </w:rPr>
      </w:pPr>
      <w:r>
        <w:rPr>
          <w:rFonts w:hint="eastAsia" w:hAnsi="宋体"/>
        </w:rPr>
        <w:t>地下水每年检验一次。</w:t>
      </w:r>
    </w:p>
    <w:p w14:paraId="75340126">
      <w:pPr>
        <w:numPr>
          <w:ilvl w:val="0"/>
          <w:numId w:val="1"/>
        </w:numPr>
        <w:spacing w:line="300" w:lineRule="auto"/>
        <w:ind w:firstLine="420" w:firstLineChars="200"/>
        <w:rPr>
          <w:rFonts w:hint="eastAsia" w:hAnsi="宋体"/>
        </w:rPr>
      </w:pPr>
      <w:r>
        <w:rPr>
          <w:rFonts w:hint="eastAsia" w:hAnsi="宋体"/>
        </w:rPr>
        <w:t>再生水每</w:t>
      </w:r>
      <w:r>
        <w:rPr>
          <w:rFonts w:hAnsi="宋体"/>
        </w:rPr>
        <w:t>3个月</w:t>
      </w:r>
      <w:r>
        <w:rPr>
          <w:rFonts w:hint="eastAsia" w:hAnsi="宋体"/>
        </w:rPr>
        <w:t>检验一次；在质量稳定一年后，可每</w:t>
      </w:r>
      <w:r>
        <w:rPr>
          <w:rFonts w:hAnsi="宋体"/>
        </w:rPr>
        <w:t>6个</w:t>
      </w:r>
      <w:r>
        <w:rPr>
          <w:rFonts w:hint="eastAsia" w:hAnsi="宋体"/>
        </w:rPr>
        <w:t>月检验一次。</w:t>
      </w:r>
    </w:p>
    <w:p w14:paraId="75340127">
      <w:pPr>
        <w:numPr>
          <w:ilvl w:val="0"/>
          <w:numId w:val="1"/>
        </w:numPr>
        <w:spacing w:line="300" w:lineRule="auto"/>
        <w:ind w:firstLine="420" w:firstLineChars="200"/>
        <w:rPr>
          <w:rFonts w:hint="eastAsia" w:hAnsi="宋体"/>
        </w:rPr>
      </w:pPr>
      <w:r>
        <w:rPr>
          <w:rFonts w:hint="eastAsia" w:hAnsi="宋体"/>
        </w:rPr>
        <w:t>混凝土企业设备洗涮水每</w:t>
      </w:r>
      <w:r>
        <w:rPr>
          <w:rFonts w:hAnsi="宋体"/>
        </w:rPr>
        <w:t>3个</w:t>
      </w:r>
      <w:r>
        <w:rPr>
          <w:rFonts w:hint="eastAsia" w:hAnsi="宋体"/>
        </w:rPr>
        <w:t>月检验一次；在质量稳定一年后，可一年检验一次。</w:t>
      </w:r>
    </w:p>
    <w:p w14:paraId="75340128">
      <w:pPr>
        <w:numPr>
          <w:ilvl w:val="0"/>
          <w:numId w:val="1"/>
        </w:numPr>
        <w:spacing w:line="300" w:lineRule="auto"/>
        <w:ind w:firstLine="420" w:firstLineChars="200"/>
        <w:rPr>
          <w:rFonts w:hint="eastAsia" w:hAnsi="宋体"/>
        </w:rPr>
      </w:pPr>
      <w:r>
        <w:rPr>
          <w:rFonts w:hint="eastAsia" w:hAnsi="宋体"/>
        </w:rPr>
        <w:t>当发现水受到污染和对混凝土性能有影响时，应立即检验。</w:t>
      </w:r>
    </w:p>
    <w:p w14:paraId="75340129">
      <w:pPr>
        <w:spacing w:line="300" w:lineRule="auto"/>
        <w:ind w:firstLine="420" w:firstLineChars="200"/>
        <w:rPr>
          <w:rFonts w:hint="eastAsia" w:hAnsi="宋体" w:eastAsia="宋体"/>
          <w:lang w:eastAsia="zh-CN"/>
        </w:rPr>
      </w:pPr>
      <w:r>
        <w:rPr>
          <w:rFonts w:hAnsi="宋体"/>
        </w:rPr>
        <w:t>3</w:t>
      </w:r>
      <w:r>
        <w:rPr>
          <w:rFonts w:hint="eastAsia" w:hAnsi="宋体"/>
        </w:rPr>
        <w:t xml:space="preserve"> 当</w:t>
      </w:r>
      <w:r>
        <w:rPr>
          <w:rFonts w:hAnsi="宋体"/>
        </w:rPr>
        <w:t>符合下列条件之一时，可将检验批量扩大一倍</w:t>
      </w:r>
      <w:r>
        <w:rPr>
          <w:rFonts w:hint="eastAsia" w:hAnsi="宋体"/>
          <w:lang w:eastAsia="zh-CN"/>
        </w:rPr>
        <w:t>：</w:t>
      </w:r>
    </w:p>
    <w:p w14:paraId="7534012A">
      <w:pPr>
        <w:spacing w:line="300" w:lineRule="auto"/>
        <w:ind w:firstLine="630" w:firstLineChars="300"/>
        <w:rPr>
          <w:rFonts w:hint="eastAsia" w:hAnsi="宋体"/>
        </w:rPr>
      </w:pPr>
      <w:r>
        <w:rPr>
          <w:rFonts w:hint="eastAsia" w:hAnsi="宋体"/>
        </w:rPr>
        <w:t>1）对经产品认证机构认证符合要求的产品。</w:t>
      </w:r>
    </w:p>
    <w:p w14:paraId="7534012B">
      <w:pPr>
        <w:spacing w:line="300" w:lineRule="auto"/>
        <w:ind w:firstLine="630" w:firstLineChars="300"/>
        <w:rPr>
          <w:rFonts w:hint="eastAsia" w:hAnsi="宋体"/>
        </w:rPr>
      </w:pPr>
      <w:r>
        <w:rPr>
          <w:rFonts w:hint="eastAsia" w:hAnsi="宋体"/>
        </w:rPr>
        <w:t>2）</w:t>
      </w:r>
      <w:r>
        <w:rPr>
          <w:rFonts w:hAnsi="宋体"/>
        </w:rPr>
        <w:t>来源稳定且</w:t>
      </w:r>
      <w:r>
        <w:rPr>
          <w:rFonts w:hint="eastAsia" w:hAnsi="宋体"/>
        </w:rPr>
        <w:t>连续三次</w:t>
      </w:r>
      <w:r>
        <w:rPr>
          <w:rFonts w:hAnsi="宋体"/>
        </w:rPr>
        <w:t>检验合格</w:t>
      </w:r>
      <w:r>
        <w:rPr>
          <w:rFonts w:hint="eastAsia" w:hAnsi="宋体"/>
        </w:rPr>
        <w:t>。</w:t>
      </w:r>
    </w:p>
    <w:p w14:paraId="7534012C">
      <w:pPr>
        <w:spacing w:line="300" w:lineRule="auto"/>
        <w:ind w:firstLine="630" w:firstLineChars="300"/>
        <w:rPr>
          <w:rFonts w:hint="eastAsia" w:hAnsi="宋体"/>
        </w:rPr>
      </w:pPr>
      <w:r>
        <w:rPr>
          <w:rFonts w:hint="eastAsia" w:hAnsi="宋体"/>
        </w:rPr>
        <w:t>3）</w:t>
      </w:r>
      <w:r>
        <w:rPr>
          <w:rFonts w:hAnsi="宋体"/>
        </w:rPr>
        <w:t>同一</w:t>
      </w:r>
      <w:r>
        <w:rPr>
          <w:rFonts w:hint="eastAsia" w:hAnsi="宋体"/>
        </w:rPr>
        <w:t>厂家的同批</w:t>
      </w:r>
      <w:r>
        <w:rPr>
          <w:rFonts w:hAnsi="宋体"/>
        </w:rPr>
        <w:t>出厂材料</w:t>
      </w:r>
      <w:r>
        <w:rPr>
          <w:rFonts w:hint="eastAsia" w:hAnsi="宋体"/>
        </w:rPr>
        <w:t>，</w:t>
      </w:r>
      <w:r>
        <w:rPr>
          <w:rFonts w:hAnsi="宋体"/>
        </w:rPr>
        <w:t>用于同时施工</w:t>
      </w:r>
      <w:r>
        <w:rPr>
          <w:rFonts w:hint="eastAsia" w:hAnsi="宋体"/>
        </w:rPr>
        <w:t>且属于</w:t>
      </w:r>
      <w:r>
        <w:rPr>
          <w:rFonts w:hAnsi="宋体"/>
        </w:rPr>
        <w:t>同一工程项目的多个单位工程。</w:t>
      </w:r>
    </w:p>
    <w:p w14:paraId="7534012D">
      <w:pPr>
        <w:spacing w:line="300" w:lineRule="auto"/>
        <w:ind w:firstLine="420" w:firstLineChars="200"/>
      </w:pPr>
      <w:bookmarkStart w:id="175" w:name="_Toc243285275"/>
      <w:r>
        <w:t>4</w:t>
      </w:r>
      <w:r>
        <w:rPr>
          <w:szCs w:val="21"/>
        </w:rPr>
        <w:t xml:space="preserve"> </w:t>
      </w:r>
      <w:r>
        <w:rPr>
          <w:rFonts w:hAnsi="宋体"/>
        </w:rPr>
        <w:t>不同批次或非连续供应的不足一个检验批量的混凝土原材料应作为一个检验批。</w:t>
      </w:r>
      <w:bookmarkEnd w:id="175"/>
    </w:p>
    <w:p w14:paraId="7534012E">
      <w:pPr>
        <w:spacing w:line="300" w:lineRule="auto"/>
        <w:rPr>
          <w:rFonts w:hint="eastAsia" w:hAnsi="宋体"/>
        </w:rPr>
      </w:pPr>
      <w:bookmarkStart w:id="176" w:name="_Toc243285276"/>
      <w:r>
        <w:rPr>
          <w:rFonts w:hint="eastAsia"/>
          <w:b/>
          <w:szCs w:val="21"/>
        </w:rPr>
        <w:t xml:space="preserve">7.1.4 </w:t>
      </w:r>
      <w:r>
        <w:rPr>
          <w:rFonts w:hint="eastAsia" w:hAnsi="宋体"/>
        </w:rPr>
        <w:t>原材料进场检验的取样与试验等工作应由混凝土生产企业承担，当混凝土生产企业不具备试验和人员的技术资质时，可委托有检验资质的单位承担。</w:t>
      </w:r>
    </w:p>
    <w:p w14:paraId="7534012F">
      <w:pPr>
        <w:spacing w:line="300" w:lineRule="auto"/>
        <w:rPr>
          <w:rFonts w:hint="eastAsia" w:hAnsi="宋体"/>
        </w:rPr>
      </w:pPr>
      <w:r>
        <w:rPr>
          <w:rFonts w:hint="eastAsia" w:hAnsi="宋体"/>
          <w:b/>
          <w:bCs/>
        </w:rPr>
        <w:t xml:space="preserve">7.1.5 </w:t>
      </w:r>
      <w:r>
        <w:rPr>
          <w:rFonts w:hint="eastAsia" w:hAnsi="宋体"/>
        </w:rPr>
        <w:t>原材料进场检验项目应符合下列规定：</w:t>
      </w:r>
    </w:p>
    <w:p w14:paraId="75340130">
      <w:pPr>
        <w:spacing w:line="300" w:lineRule="auto"/>
        <w:ind w:firstLine="420" w:firstLineChars="200"/>
        <w:rPr>
          <w:rFonts w:hint="eastAsia" w:hAnsi="宋体"/>
          <w:szCs w:val="21"/>
        </w:rPr>
      </w:pPr>
      <w:r>
        <w:rPr>
          <w:rFonts w:hint="eastAsia" w:hAnsi="宋体"/>
        </w:rPr>
        <w:t>1 水泥的进场检验项目应为细度、凝结时间、安定性、胶砂强度、氧化镁和氯离子；当有碱含量控制需要时，</w:t>
      </w:r>
      <w:r>
        <w:rPr>
          <w:rFonts w:hint="eastAsia" w:hAnsi="宋体"/>
          <w:szCs w:val="21"/>
        </w:rPr>
        <w:t>进场检验</w:t>
      </w:r>
      <w:r>
        <w:rPr>
          <w:rFonts w:hAnsi="宋体"/>
          <w:szCs w:val="21"/>
        </w:rPr>
        <w:t>项目还应包括碱含量，中、低热硅酸盐水泥</w:t>
      </w:r>
      <w:r>
        <w:rPr>
          <w:rFonts w:hint="eastAsia" w:hAnsi="宋体"/>
          <w:szCs w:val="21"/>
        </w:rPr>
        <w:t>、</w:t>
      </w:r>
      <w:r>
        <w:rPr>
          <w:rFonts w:hAnsi="宋体"/>
          <w:szCs w:val="21"/>
        </w:rPr>
        <w:t>低热矿渣硅酸盐水泥</w:t>
      </w:r>
      <w:r>
        <w:rPr>
          <w:rFonts w:hint="eastAsia" w:hAnsi="宋体"/>
          <w:szCs w:val="21"/>
        </w:rPr>
        <w:t>或核电工程用硅酸盐水泥进场检验</w:t>
      </w:r>
      <w:r>
        <w:rPr>
          <w:rFonts w:hAnsi="宋体"/>
          <w:szCs w:val="21"/>
        </w:rPr>
        <w:t>项目还应包括水化热。</w:t>
      </w:r>
    </w:p>
    <w:p w14:paraId="75340131">
      <w:pPr>
        <w:spacing w:line="300" w:lineRule="auto"/>
        <w:ind w:firstLine="420" w:firstLineChars="200"/>
        <w:rPr>
          <w:rFonts w:hint="eastAsia" w:hAnsi="宋体"/>
          <w:szCs w:val="21"/>
        </w:rPr>
      </w:pPr>
      <w:r>
        <w:rPr>
          <w:rFonts w:hint="eastAsia" w:hAnsi="宋体"/>
        </w:rPr>
        <w:t>2 粗骨料的进场检验项目应为</w:t>
      </w:r>
      <w:r>
        <w:rPr>
          <w:rFonts w:hAnsi="宋体"/>
          <w:szCs w:val="21"/>
        </w:rPr>
        <w:t>颗粒级配、针片状</w:t>
      </w:r>
      <w:r>
        <w:rPr>
          <w:rFonts w:hint="eastAsia" w:hAnsi="宋体"/>
          <w:szCs w:val="21"/>
        </w:rPr>
        <w:t>颗粒</w:t>
      </w:r>
      <w:r>
        <w:rPr>
          <w:rFonts w:hAnsi="宋体"/>
          <w:szCs w:val="21"/>
        </w:rPr>
        <w:t>含量、</w:t>
      </w:r>
      <w:r>
        <w:rPr>
          <w:rFonts w:hint="eastAsia" w:hAnsi="宋体"/>
          <w:szCs w:val="21"/>
        </w:rPr>
        <w:t>卵石</w:t>
      </w:r>
      <w:r>
        <w:rPr>
          <w:rFonts w:hAnsi="宋体"/>
          <w:szCs w:val="21"/>
        </w:rPr>
        <w:t>含泥量</w:t>
      </w:r>
      <w:r>
        <w:rPr>
          <w:rFonts w:hint="eastAsia" w:hAnsi="宋体"/>
          <w:szCs w:val="21"/>
        </w:rPr>
        <w:t>（碎石泥粉含量）</w:t>
      </w:r>
      <w:r>
        <w:rPr>
          <w:rFonts w:hAnsi="宋体"/>
          <w:szCs w:val="21"/>
        </w:rPr>
        <w:t>、泥块含量</w:t>
      </w:r>
      <w:r>
        <w:rPr>
          <w:rFonts w:hint="eastAsia" w:hAnsi="宋体"/>
          <w:szCs w:val="21"/>
        </w:rPr>
        <w:t>、</w:t>
      </w:r>
      <w:r>
        <w:rPr>
          <w:rFonts w:hAnsi="宋体"/>
          <w:szCs w:val="21"/>
        </w:rPr>
        <w:t>压碎值指标</w:t>
      </w:r>
      <w:r>
        <w:rPr>
          <w:rFonts w:hint="eastAsia" w:hAnsi="宋体"/>
          <w:szCs w:val="21"/>
        </w:rPr>
        <w:t>和坚固性</w:t>
      </w:r>
      <w:r>
        <w:rPr>
          <w:rFonts w:hAnsi="宋体"/>
          <w:szCs w:val="21"/>
        </w:rPr>
        <w:t>，</w:t>
      </w:r>
      <w:r>
        <w:rPr>
          <w:rFonts w:hint="eastAsia" w:hAnsi="宋体"/>
          <w:szCs w:val="21"/>
        </w:rPr>
        <w:t>I类粗骨料进场检验项目还应包括不规则颗粒含量，连续粒级的石子进场检验项目还应包括空隙率；再生粗骨料进场检验项目应包括泥块含量、吸水率、压碎指标、表观密度。轻粗骨料进场检验应包括颗粒级配、堆积密度、筒压强度和吸水率；自燃煤矸石作粗骨料尚应包括烧失量、三氧化硫含量。其中，坚固性应每3个月或当骨料矿源有变化时检验一次。</w:t>
      </w:r>
    </w:p>
    <w:p w14:paraId="75340132">
      <w:pPr>
        <w:spacing w:line="300" w:lineRule="auto"/>
        <w:ind w:firstLine="420" w:firstLineChars="200"/>
        <w:rPr>
          <w:szCs w:val="21"/>
        </w:rPr>
      </w:pPr>
      <w:r>
        <w:rPr>
          <w:rFonts w:hint="eastAsia"/>
          <w:szCs w:val="21"/>
        </w:rPr>
        <w:t>3 天然砂进场检验项目应包括颗粒级配、细度模数、含泥量、泥块含量、坚固性、氯离子含量和有害物质含量；机制砂或混合砂进场检验项目应包括颗粒级配、细度模数、石粉含量、石粉亚甲蓝值、石粉流动度比、泥块含量、坚固性和压碎指标，</w:t>
      </w:r>
      <w:r>
        <w:rPr>
          <w:szCs w:val="21"/>
        </w:rPr>
        <w:t>I</w:t>
      </w:r>
      <w:r>
        <w:rPr>
          <w:rFonts w:hint="eastAsia"/>
          <w:szCs w:val="21"/>
        </w:rPr>
        <w:t>类机制砂进场检验项目还应包括片状颗粒含量。海砂进场检验项目还应包括贝壳含量。再生细骨料进场检验项目应包括泥块含量、再生细骨料胶砂需水量比、表观密度。轻细骨料进场检验项目应包括颗粒级配、堆积密度、吸水率。</w:t>
      </w:r>
      <w:r>
        <w:rPr>
          <w:rFonts w:hint="eastAsia" w:hAnsi="宋体"/>
          <w:szCs w:val="21"/>
        </w:rPr>
        <w:t>其中，坚固性应每3个月或当骨料矿源有变化时检验一次。</w:t>
      </w:r>
    </w:p>
    <w:p w14:paraId="75340133">
      <w:pPr>
        <w:spacing w:line="300" w:lineRule="auto"/>
        <w:ind w:firstLine="420" w:firstLineChars="200"/>
        <w:rPr>
          <w:rFonts w:hint="eastAsia" w:hAnsi="宋体"/>
          <w:szCs w:val="21"/>
        </w:rPr>
      </w:pPr>
      <w:r>
        <w:rPr>
          <w:rFonts w:hint="eastAsia"/>
          <w:szCs w:val="21"/>
        </w:rPr>
        <w:t xml:space="preserve">4 </w:t>
      </w:r>
      <w:r>
        <w:rPr>
          <w:rFonts w:hAnsi="宋体"/>
          <w:szCs w:val="21"/>
        </w:rPr>
        <w:t>粉煤灰</w:t>
      </w:r>
      <w:r>
        <w:rPr>
          <w:rFonts w:hint="eastAsia" w:hAnsi="宋体"/>
          <w:szCs w:val="21"/>
        </w:rPr>
        <w:t>进场检验项目</w:t>
      </w:r>
      <w:r>
        <w:rPr>
          <w:rFonts w:hAnsi="宋体"/>
          <w:szCs w:val="21"/>
        </w:rPr>
        <w:t>应包括细度、需水量比、烧失量</w:t>
      </w:r>
      <w:r>
        <w:rPr>
          <w:rFonts w:hint="eastAsia" w:hAnsi="宋体"/>
          <w:szCs w:val="21"/>
        </w:rPr>
        <w:t>、</w:t>
      </w:r>
      <w:r>
        <w:rPr>
          <w:rFonts w:hAnsi="宋体"/>
          <w:szCs w:val="21"/>
        </w:rPr>
        <w:t>三氧化硫含量</w:t>
      </w:r>
      <w:r>
        <w:rPr>
          <w:rFonts w:hint="eastAsia" w:hAnsi="宋体"/>
          <w:szCs w:val="21"/>
        </w:rPr>
        <w:t>和铵离子含量</w:t>
      </w:r>
      <w:r>
        <w:rPr>
          <w:rFonts w:hAnsi="宋体"/>
          <w:szCs w:val="21"/>
        </w:rPr>
        <w:t>，</w:t>
      </w:r>
      <w:r>
        <w:rPr>
          <w:szCs w:val="21"/>
        </w:rPr>
        <w:t>C</w:t>
      </w:r>
      <w:r>
        <w:rPr>
          <w:rFonts w:hAnsi="宋体"/>
          <w:szCs w:val="21"/>
        </w:rPr>
        <w:t>类粉煤灰的</w:t>
      </w:r>
      <w:r>
        <w:rPr>
          <w:rFonts w:hint="eastAsia" w:hAnsi="宋体"/>
          <w:szCs w:val="21"/>
        </w:rPr>
        <w:t>进场检验项目</w:t>
      </w:r>
      <w:r>
        <w:rPr>
          <w:rFonts w:hAnsi="宋体"/>
          <w:szCs w:val="21"/>
        </w:rPr>
        <w:t>还应包括</w:t>
      </w:r>
      <w:r>
        <w:rPr>
          <w:rFonts w:hint="eastAsia" w:hAnsi="宋体"/>
        </w:rPr>
        <w:t>游离氧化钙含量和</w:t>
      </w:r>
      <w:r>
        <w:rPr>
          <w:rFonts w:hAnsi="宋体"/>
          <w:szCs w:val="21"/>
        </w:rPr>
        <w:t>安定性；粒化高炉矿渣粉</w:t>
      </w:r>
      <w:r>
        <w:rPr>
          <w:rFonts w:hint="eastAsia" w:hAnsi="宋体"/>
          <w:szCs w:val="21"/>
        </w:rPr>
        <w:t>进场检验</w:t>
      </w:r>
      <w:r>
        <w:rPr>
          <w:rFonts w:hAnsi="宋体"/>
          <w:szCs w:val="21"/>
        </w:rPr>
        <w:t>项目应包括比表面积、活性指数和流动度比；硅灰</w:t>
      </w:r>
      <w:r>
        <w:rPr>
          <w:rFonts w:hint="eastAsia" w:hAnsi="宋体"/>
          <w:szCs w:val="21"/>
        </w:rPr>
        <w:t>进场检验</w:t>
      </w:r>
      <w:r>
        <w:rPr>
          <w:rFonts w:hAnsi="宋体"/>
          <w:szCs w:val="21"/>
        </w:rPr>
        <w:t>项目应包括</w:t>
      </w:r>
      <w:r>
        <w:rPr>
          <w:rFonts w:hint="eastAsia" w:hAnsi="宋体"/>
          <w:szCs w:val="21"/>
        </w:rPr>
        <w:t>需水量比、烧失量、</w:t>
      </w:r>
      <w:r>
        <w:rPr>
          <w:rFonts w:hAnsi="宋体"/>
          <w:szCs w:val="21"/>
        </w:rPr>
        <w:t>比表面积和二氧化硅含量；</w:t>
      </w:r>
      <w:r>
        <w:rPr>
          <w:rFonts w:hint="eastAsia" w:hAnsi="宋体"/>
          <w:szCs w:val="21"/>
        </w:rPr>
        <w:t>石灰石粉进场检验项目应包括细度、流动度比、活性指数和安定性；天然火山灰质材料进场检验项目应包括细度、流动度比、活性指数；天然沸石粉进场检验项目应包括细度、吸铵值、活性指数和需水量比；</w:t>
      </w:r>
      <w:r>
        <w:rPr>
          <w:rFonts w:hAnsi="宋体"/>
          <w:szCs w:val="21"/>
        </w:rPr>
        <w:t>钢渣粉</w:t>
      </w:r>
      <w:r>
        <w:rPr>
          <w:rFonts w:hint="eastAsia" w:hAnsi="宋体"/>
          <w:szCs w:val="21"/>
        </w:rPr>
        <w:t>进场检验</w:t>
      </w:r>
      <w:r>
        <w:rPr>
          <w:rFonts w:hAnsi="宋体"/>
          <w:szCs w:val="21"/>
        </w:rPr>
        <w:t>项目应包括</w:t>
      </w:r>
      <w:r>
        <w:rPr>
          <w:rFonts w:hAnsi="宋体"/>
          <w:szCs w:val="18"/>
        </w:rPr>
        <w:t>比表面积</w:t>
      </w:r>
      <w:r>
        <w:rPr>
          <w:rFonts w:hAnsi="宋体"/>
          <w:szCs w:val="21"/>
        </w:rPr>
        <w:t>、活性指数、流动度比</w:t>
      </w:r>
      <w:r>
        <w:rPr>
          <w:rFonts w:hAnsi="宋体"/>
          <w:szCs w:val="18"/>
        </w:rPr>
        <w:t>和安定性</w:t>
      </w:r>
      <w:r>
        <w:rPr>
          <w:rFonts w:hAnsi="宋体"/>
          <w:szCs w:val="21"/>
        </w:rPr>
        <w:t>；磷渣粉</w:t>
      </w:r>
      <w:r>
        <w:rPr>
          <w:rFonts w:hint="eastAsia" w:hAnsi="宋体"/>
          <w:szCs w:val="21"/>
        </w:rPr>
        <w:t>进场检验</w:t>
      </w:r>
      <w:r>
        <w:rPr>
          <w:rFonts w:hAnsi="宋体"/>
          <w:szCs w:val="21"/>
        </w:rPr>
        <w:t>项目应包括</w:t>
      </w:r>
      <w:r>
        <w:rPr>
          <w:rFonts w:hAnsi="宋体"/>
          <w:szCs w:val="18"/>
        </w:rPr>
        <w:t>细度、活性指数、流动度比、五氧化二磷含量和安定性</w:t>
      </w:r>
      <w:r>
        <w:rPr>
          <w:rFonts w:hint="eastAsia" w:hAnsi="宋体"/>
          <w:szCs w:val="18"/>
        </w:rPr>
        <w:t>；普通型复合掺合料的进场检验项目应包括细度、流动度比和活性指数。</w:t>
      </w:r>
    </w:p>
    <w:p w14:paraId="75340134">
      <w:pPr>
        <w:spacing w:line="300" w:lineRule="auto"/>
        <w:ind w:firstLine="420" w:firstLineChars="200"/>
        <w:rPr>
          <w:rFonts w:hint="eastAsia" w:hAnsi="宋体"/>
          <w:szCs w:val="21"/>
        </w:rPr>
      </w:pPr>
      <w:r>
        <w:rPr>
          <w:rFonts w:hint="eastAsia" w:hAnsi="宋体"/>
          <w:szCs w:val="21"/>
        </w:rPr>
        <w:t>5 外加剂进场检验项目应包括pH值、氯离子含量、总碱量、密度或细度、含固量或含水率。减水剂的进场检验项目还应包括减水率、凝结时间差和1d抗压强度比，引气剂及引气减水剂的进场检验项目还应包含含气量、含气量经时损失；早强剂凝结时间差和1d抗压强度比；缓凝剂的进场检验项目还应包括凝结时间之差和1d抗压强度比；泵送剂的进场检验项目还应包括减水率、坍落度1h经时损失变化值和1d抗压强度比；防冻剂的进场检验项目还应包括含气量；速凝剂的进场检验项目还应包括水泥净浆初凝和终凝时间；膨胀剂的进场检验项目还应包括凝结时间和7d抗压强度；防水剂的进场检验项目还应包括凝结时间差和3d抗压强度比；阻锈剂的进场检验项目还应包括凝结时间差和3d抗压强度比。</w:t>
      </w:r>
    </w:p>
    <w:p w14:paraId="75340135">
      <w:pPr>
        <w:spacing w:line="300" w:lineRule="auto"/>
        <w:ind w:firstLine="420" w:firstLineChars="200"/>
        <w:rPr>
          <w:rFonts w:hint="eastAsia" w:hAnsi="宋体"/>
          <w:szCs w:val="21"/>
        </w:rPr>
      </w:pPr>
      <w:r>
        <w:rPr>
          <w:rFonts w:hint="eastAsia" w:hAnsi="宋体"/>
          <w:szCs w:val="21"/>
        </w:rPr>
        <w:t>6 符合现行国家标准《生活饮用水卫生标准》GB 5749的饮用水无需检验。非饮用水检验项目应包括pH值、不溶物含量、可溶物含量、硫酸根离子含量、氯离子含量、水泥凝结时间差和水泥胶砂强度比。当混凝土骨料为碱活性时，检验项目还应包括碱含量。地表水、地下水和再生水还应检验放射性；当有可靠资料证明无放射性污染时，可不检验。</w:t>
      </w:r>
    </w:p>
    <w:p w14:paraId="75340136">
      <w:pPr>
        <w:spacing w:line="300" w:lineRule="auto"/>
        <w:ind w:firstLine="420" w:firstLineChars="200"/>
        <w:rPr>
          <w:rFonts w:hint="eastAsia" w:hAnsi="宋体"/>
          <w:szCs w:val="21"/>
        </w:rPr>
      </w:pPr>
      <w:r>
        <w:rPr>
          <w:rFonts w:hint="eastAsia" w:hAnsi="宋体"/>
          <w:szCs w:val="21"/>
        </w:rPr>
        <w:t>7 钢纤维进场检验项目应包括抗拉强度、弯折性能、尺寸偏差和杂质含量。合成纤维进场检验项目应包括纤维抗拉强度、初始模量、断裂伸长率、耐碱性能、分散性相对误差、混凝土抗压强度比，增韧纤维还应包括韧性指数和抗冲击次数比，玄武岩纤维进场检验项目应包括长度、密度和耐碱强力保留率，耐碱玻璃纤维进场检验项目应包括尺寸偏差、密度和耐碱强力保留率。</w:t>
      </w:r>
    </w:p>
    <w:p w14:paraId="0DC67DB2">
      <w:pPr>
        <w:spacing w:line="300" w:lineRule="auto"/>
        <w:rPr>
          <w:rFonts w:hint="eastAsia" w:hAnsi="宋体"/>
        </w:rPr>
      </w:pPr>
      <w:r>
        <w:rPr>
          <w:b/>
          <w:szCs w:val="21"/>
        </w:rPr>
        <w:t>7.1.</w:t>
      </w:r>
      <w:r>
        <w:rPr>
          <w:rFonts w:hint="eastAsia"/>
          <w:b/>
          <w:szCs w:val="21"/>
        </w:rPr>
        <w:t>6</w:t>
      </w:r>
      <w:r>
        <w:rPr>
          <w:b/>
          <w:szCs w:val="21"/>
        </w:rPr>
        <w:t xml:space="preserve"> </w:t>
      </w:r>
      <w:r>
        <w:rPr>
          <w:rFonts w:hAnsi="宋体"/>
        </w:rPr>
        <w:t>原材料的质量应符合本标准第</w:t>
      </w:r>
      <w:r>
        <w:t>2</w:t>
      </w:r>
      <w:r>
        <w:rPr>
          <w:rFonts w:hAnsi="宋体"/>
        </w:rPr>
        <w:t>章的规定。</w:t>
      </w:r>
      <w:bookmarkEnd w:id="176"/>
      <w:r>
        <w:rPr>
          <w:rFonts w:hint="eastAsia" w:hAnsi="宋体"/>
        </w:rPr>
        <w:t>进场检验项目的检验结果应符合</w:t>
      </w:r>
      <w:r>
        <w:rPr>
          <w:rFonts w:hint="eastAsia" w:hAnsi="宋体"/>
          <w:lang w:eastAsia="zh-CN"/>
        </w:rPr>
        <w:t>本标准</w:t>
      </w:r>
      <w:r>
        <w:rPr>
          <w:rFonts w:hint="eastAsia" w:hAnsi="宋体"/>
        </w:rPr>
        <w:t>第2章的规定。</w:t>
      </w:r>
      <w:r>
        <w:rPr>
          <w:rFonts w:hint="eastAsia" w:hAnsi="宋体"/>
          <w:lang w:eastAsia="zh-CN"/>
        </w:rPr>
        <w:t>本标准</w:t>
      </w:r>
      <w:r>
        <w:rPr>
          <w:rFonts w:hint="eastAsia" w:hAnsi="宋体"/>
        </w:rPr>
        <w:t>第2章规定的除进场检验项目外的其他项目，以型式检验报告或出厂检验报告中的检验结果验收。</w:t>
      </w:r>
    </w:p>
    <w:p w14:paraId="0B076933">
      <w:pPr>
        <w:spacing w:line="300" w:lineRule="auto"/>
        <w:rPr>
          <w:rFonts w:hint="eastAsia" w:hAnsi="宋体"/>
        </w:rPr>
      </w:pPr>
    </w:p>
    <w:p w14:paraId="75340138">
      <w:pPr>
        <w:spacing w:before="312" w:beforeLines="100" w:after="312" w:afterLines="100" w:line="300" w:lineRule="auto"/>
        <w:jc w:val="center"/>
        <w:outlineLvl w:val="1"/>
        <w:rPr>
          <w:bCs/>
          <w:sz w:val="24"/>
        </w:rPr>
      </w:pPr>
      <w:bookmarkStart w:id="177" w:name="_Toc269885306"/>
      <w:bookmarkStart w:id="178" w:name="_Toc237336846"/>
      <w:bookmarkStart w:id="179" w:name="_Toc245290875"/>
      <w:bookmarkStart w:id="180" w:name="_Toc245291088"/>
      <w:bookmarkStart w:id="181" w:name="_Toc268678441"/>
      <w:bookmarkStart w:id="182" w:name="_Toc243285277"/>
      <w:bookmarkStart w:id="183" w:name="_Toc201943572"/>
      <w:bookmarkStart w:id="184" w:name="_Toc275249825"/>
      <w:bookmarkStart w:id="185" w:name="_Toc242936873"/>
      <w:bookmarkStart w:id="186" w:name="_Toc268120177"/>
      <w:bookmarkStart w:id="187" w:name="_Toc245290397"/>
      <w:bookmarkStart w:id="188" w:name="_Toc236925636"/>
      <w:bookmarkStart w:id="189" w:name="_Toc175973472"/>
      <w:bookmarkStart w:id="190" w:name="_Toc268120051"/>
      <w:bookmarkStart w:id="191" w:name="_Toc238356699"/>
      <w:r>
        <w:rPr>
          <w:bCs/>
          <w:sz w:val="24"/>
        </w:rPr>
        <w:t xml:space="preserve">7.2 </w:t>
      </w:r>
      <w:r>
        <w:rPr>
          <w:rFonts w:hint="eastAsia"/>
          <w:bCs/>
          <w:sz w:val="24"/>
        </w:rPr>
        <w:t xml:space="preserve"> </w:t>
      </w:r>
      <w:r>
        <w:rPr>
          <w:rFonts w:hAnsi="宋体"/>
          <w:bCs/>
          <w:sz w:val="24"/>
        </w:rPr>
        <w:t>混凝土拌合物性能检验</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75340139">
      <w:pPr>
        <w:spacing w:line="300" w:lineRule="auto"/>
        <w:rPr>
          <w:rFonts w:hint="eastAsia" w:hAnsi="宋体"/>
        </w:rPr>
      </w:pPr>
      <w:bookmarkStart w:id="192" w:name="_Toc243285279"/>
      <w:r>
        <w:rPr>
          <w:b/>
          <w:szCs w:val="21"/>
        </w:rPr>
        <w:t>7.2.1</w:t>
      </w:r>
      <w:r>
        <w:rPr>
          <w:szCs w:val="21"/>
        </w:rPr>
        <w:t xml:space="preserve">  </w:t>
      </w:r>
      <w:r>
        <w:rPr>
          <w:rFonts w:hAnsi="宋体"/>
        </w:rPr>
        <w:t>在生产施工过程中，应在搅拌地点和</w:t>
      </w:r>
      <w:r>
        <w:rPr>
          <w:rFonts w:hint="eastAsia" w:hAnsi="宋体"/>
        </w:rPr>
        <w:t>交货</w:t>
      </w:r>
      <w:r>
        <w:rPr>
          <w:rFonts w:hAnsi="宋体"/>
        </w:rPr>
        <w:t>地点分别对混凝土拌合物进行抽样检验</w:t>
      </w:r>
      <w:bookmarkEnd w:id="192"/>
      <w:r>
        <w:rPr>
          <w:rFonts w:hAnsi="宋体"/>
        </w:rPr>
        <w:t>。</w:t>
      </w:r>
    </w:p>
    <w:p w14:paraId="7534013A">
      <w:pPr>
        <w:spacing w:line="300" w:lineRule="auto"/>
      </w:pPr>
      <w:bookmarkStart w:id="193" w:name="_Toc243285280"/>
      <w:r>
        <w:rPr>
          <w:b/>
          <w:szCs w:val="21"/>
        </w:rPr>
        <w:t xml:space="preserve">7.2.2 </w:t>
      </w:r>
      <w:r>
        <w:t xml:space="preserve"> </w:t>
      </w:r>
      <w:r>
        <w:rPr>
          <w:rFonts w:hAnsi="宋体"/>
        </w:rPr>
        <w:t>混凝土拌合物的检验频率应符合下列规定：</w:t>
      </w:r>
      <w:r>
        <w:t xml:space="preserve"> </w:t>
      </w:r>
    </w:p>
    <w:p w14:paraId="7534013B">
      <w:pPr>
        <w:spacing w:line="300" w:lineRule="auto"/>
        <w:ind w:firstLine="420" w:firstLineChars="200"/>
      </w:pPr>
      <w:r>
        <w:t>1</w:t>
      </w:r>
      <w:r>
        <w:rPr>
          <w:rFonts w:hint="eastAsia"/>
          <w:szCs w:val="21"/>
        </w:rPr>
        <w:t xml:space="preserve"> </w:t>
      </w:r>
      <w:r>
        <w:rPr>
          <w:rFonts w:hAnsi="宋体"/>
        </w:rPr>
        <w:t>混凝土坍落度</w:t>
      </w:r>
      <w:r>
        <w:rPr>
          <w:rFonts w:hAnsi="宋体"/>
          <w:szCs w:val="18"/>
        </w:rPr>
        <w:t>取样检验</w:t>
      </w:r>
      <w:r>
        <w:rPr>
          <w:rFonts w:hAnsi="宋体"/>
        </w:rPr>
        <w:t>频率应</w:t>
      </w:r>
      <w:r>
        <w:rPr>
          <w:rFonts w:hint="eastAsia" w:hAnsi="宋体"/>
        </w:rPr>
        <w:t>符合现行国家标准</w:t>
      </w:r>
      <w:r>
        <w:rPr>
          <w:rFonts w:hAnsi="宋体"/>
        </w:rPr>
        <w:t>《混凝土强度检验评定标准》</w:t>
      </w:r>
      <w:r>
        <w:t>GB/T 50107</w:t>
      </w:r>
      <w:r>
        <w:rPr>
          <w:rFonts w:hint="eastAsia"/>
        </w:rPr>
        <w:t>的有关</w:t>
      </w:r>
      <w:r>
        <w:rPr>
          <w:rFonts w:hAnsi="宋体"/>
        </w:rPr>
        <w:t>规定。</w:t>
      </w:r>
      <w:bookmarkEnd w:id="193"/>
    </w:p>
    <w:p w14:paraId="7534013C">
      <w:pPr>
        <w:spacing w:line="300" w:lineRule="auto"/>
        <w:ind w:firstLine="420" w:firstLineChars="200"/>
        <w:rPr>
          <w:rFonts w:hint="eastAsia" w:hAnsi="宋体"/>
        </w:rPr>
      </w:pPr>
      <w:r>
        <w:t>2</w:t>
      </w:r>
      <w:r>
        <w:rPr>
          <w:rFonts w:hint="eastAsia"/>
          <w:szCs w:val="21"/>
        </w:rPr>
        <w:t xml:space="preserve"> </w:t>
      </w:r>
      <w:r>
        <w:rPr>
          <w:rFonts w:hAnsi="宋体"/>
        </w:rPr>
        <w:t>同一工程、同一配合比</w:t>
      </w:r>
      <w:r>
        <w:rPr>
          <w:rFonts w:hint="eastAsia" w:hAnsi="宋体"/>
        </w:rPr>
        <w:t>、采用</w:t>
      </w:r>
      <w:r>
        <w:rPr>
          <w:rFonts w:hint="eastAsia"/>
        </w:rPr>
        <w:t>同一厂家和同一品种的水泥和外加剂</w:t>
      </w:r>
      <w:r>
        <w:rPr>
          <w:rFonts w:hint="eastAsia" w:hAnsi="宋体"/>
        </w:rPr>
        <w:t>的</w:t>
      </w:r>
      <w:r>
        <w:rPr>
          <w:rFonts w:hAnsi="宋体"/>
        </w:rPr>
        <w:t>混凝土的凝结时间应至少检验</w:t>
      </w:r>
      <w:r>
        <w:t>1</w:t>
      </w:r>
      <w:r>
        <w:rPr>
          <w:rFonts w:hAnsi="宋体"/>
        </w:rPr>
        <w:t>次。</w:t>
      </w:r>
    </w:p>
    <w:p w14:paraId="7534013D">
      <w:pPr>
        <w:spacing w:line="300" w:lineRule="auto"/>
        <w:ind w:firstLine="420" w:firstLineChars="200"/>
      </w:pPr>
      <w:r>
        <w:t>3</w:t>
      </w:r>
      <w:r>
        <w:rPr>
          <w:rFonts w:hint="eastAsia"/>
          <w:szCs w:val="21"/>
        </w:rPr>
        <w:t xml:space="preserve"> </w:t>
      </w:r>
      <w:r>
        <w:rPr>
          <w:rFonts w:hAnsi="宋体"/>
        </w:rPr>
        <w:t>同一工程、同一配合比的混凝土的氯离子含量应至少检验</w:t>
      </w:r>
      <w:r>
        <w:t>1</w:t>
      </w:r>
      <w:r>
        <w:rPr>
          <w:rFonts w:hAnsi="宋体"/>
        </w:rPr>
        <w:t>次；同一工程、同一配合比和采用同一批次海砂的混凝土的氯离子含量应至少检验</w:t>
      </w:r>
      <w:r>
        <w:t>1</w:t>
      </w:r>
      <w:r>
        <w:rPr>
          <w:rFonts w:hAnsi="宋体"/>
        </w:rPr>
        <w:t>次。</w:t>
      </w:r>
    </w:p>
    <w:p w14:paraId="7534013E">
      <w:pPr>
        <w:spacing w:line="300" w:lineRule="auto"/>
      </w:pPr>
      <w:bookmarkStart w:id="194" w:name="_Toc243285281"/>
      <w:r>
        <w:rPr>
          <w:b/>
          <w:szCs w:val="21"/>
        </w:rPr>
        <w:t>7.2.3</w:t>
      </w:r>
      <w:r>
        <w:t xml:space="preserve">  </w:t>
      </w:r>
      <w:r>
        <w:rPr>
          <w:rFonts w:hAnsi="宋体"/>
        </w:rPr>
        <w:t>混凝土拌合物性能应符合本标准第</w:t>
      </w:r>
      <w:r>
        <w:t>3.1</w:t>
      </w:r>
      <w:r>
        <w:rPr>
          <w:rFonts w:hAnsi="宋体"/>
        </w:rPr>
        <w:t>节的规定。</w:t>
      </w:r>
      <w:bookmarkEnd w:id="194"/>
    </w:p>
    <w:p w14:paraId="7534013F">
      <w:pPr>
        <w:spacing w:before="312" w:beforeLines="100" w:after="312" w:afterLines="100" w:line="300" w:lineRule="auto"/>
        <w:jc w:val="center"/>
        <w:outlineLvl w:val="1"/>
        <w:rPr>
          <w:bCs/>
          <w:sz w:val="24"/>
        </w:rPr>
      </w:pPr>
      <w:bookmarkStart w:id="195" w:name="_Toc201943573"/>
      <w:bookmarkStart w:id="196" w:name="_Toc236925637"/>
      <w:bookmarkStart w:id="197" w:name="_Toc245290398"/>
      <w:bookmarkStart w:id="198" w:name="_Toc268120052"/>
      <w:bookmarkStart w:id="199" w:name="_Toc268678442"/>
      <w:bookmarkStart w:id="200" w:name="_Toc237336847"/>
      <w:bookmarkStart w:id="201" w:name="_Toc242936874"/>
      <w:bookmarkStart w:id="202" w:name="_Toc245290876"/>
      <w:bookmarkStart w:id="203" w:name="_Toc243285283"/>
      <w:bookmarkStart w:id="204" w:name="_Toc269885307"/>
      <w:bookmarkStart w:id="205" w:name="_Toc238356700"/>
      <w:bookmarkStart w:id="206" w:name="_Toc275249826"/>
      <w:bookmarkStart w:id="207" w:name="_Toc175973473"/>
      <w:bookmarkStart w:id="208" w:name="_Toc245291089"/>
      <w:bookmarkStart w:id="209" w:name="_Toc268120178"/>
      <w:r>
        <w:rPr>
          <w:bCs/>
          <w:sz w:val="24"/>
        </w:rPr>
        <w:t xml:space="preserve">7.3 </w:t>
      </w:r>
      <w:r>
        <w:rPr>
          <w:rFonts w:hint="eastAsia"/>
          <w:bCs/>
          <w:sz w:val="24"/>
        </w:rPr>
        <w:t xml:space="preserve"> </w:t>
      </w:r>
      <w:r>
        <w:rPr>
          <w:rFonts w:hAnsi="宋体"/>
          <w:bCs/>
          <w:sz w:val="24"/>
        </w:rPr>
        <w:t>硬化混凝土性能检验</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75340140">
      <w:pPr>
        <w:spacing w:line="300" w:lineRule="auto"/>
      </w:pPr>
      <w:bookmarkStart w:id="210" w:name="_Toc243285285"/>
      <w:r>
        <w:rPr>
          <w:b/>
          <w:szCs w:val="21"/>
        </w:rPr>
        <w:t>7.3.1</w:t>
      </w:r>
      <w:r>
        <w:rPr>
          <w:szCs w:val="21"/>
        </w:rPr>
        <w:t xml:space="preserve">  </w:t>
      </w:r>
      <w:r>
        <w:rPr>
          <w:rFonts w:hAnsi="宋体"/>
        </w:rPr>
        <w:t>混凝土性能检验应符合下列规定：</w:t>
      </w:r>
      <w:bookmarkEnd w:id="210"/>
    </w:p>
    <w:p w14:paraId="75340141">
      <w:pPr>
        <w:spacing w:line="300" w:lineRule="auto"/>
        <w:ind w:firstLine="420" w:firstLineChars="200"/>
      </w:pPr>
      <w:bookmarkStart w:id="211" w:name="_Toc243285286"/>
      <w:r>
        <w:t>1</w:t>
      </w:r>
      <w:r>
        <w:rPr>
          <w:rFonts w:hint="eastAsia"/>
          <w:szCs w:val="21"/>
        </w:rPr>
        <w:t xml:space="preserve"> </w:t>
      </w:r>
      <w:r>
        <w:rPr>
          <w:rFonts w:hAnsi="宋体"/>
        </w:rPr>
        <w:t>强度</w:t>
      </w:r>
      <w:r>
        <w:rPr>
          <w:rFonts w:hint="eastAsia" w:hAnsi="宋体"/>
        </w:rPr>
        <w:t>检验评定</w:t>
      </w:r>
      <w:r>
        <w:rPr>
          <w:rFonts w:hAnsi="宋体"/>
        </w:rPr>
        <w:t>应符合现行国家标准《混凝土强度检验评定标准》</w:t>
      </w:r>
      <w:r>
        <w:t>GB/T 50107</w:t>
      </w:r>
      <w:r>
        <w:rPr>
          <w:rFonts w:hAnsi="宋体"/>
        </w:rPr>
        <w:t>的</w:t>
      </w:r>
      <w:r>
        <w:rPr>
          <w:rFonts w:hint="eastAsia" w:hAnsi="宋体"/>
        </w:rPr>
        <w:t>有关</w:t>
      </w:r>
      <w:r>
        <w:rPr>
          <w:rFonts w:hAnsi="宋体"/>
        </w:rPr>
        <w:t>规定，其他力学性能检验应符合</w:t>
      </w:r>
      <w:r>
        <w:rPr>
          <w:rFonts w:hint="eastAsia" w:hAnsi="宋体"/>
        </w:rPr>
        <w:t>设计</w:t>
      </w:r>
      <w:r>
        <w:rPr>
          <w:rFonts w:hAnsi="宋体"/>
        </w:rPr>
        <w:t>要求和有关标准的规定</w:t>
      </w:r>
      <w:bookmarkEnd w:id="211"/>
      <w:r>
        <w:rPr>
          <w:rFonts w:hAnsi="宋体"/>
        </w:rPr>
        <w:t>。</w:t>
      </w:r>
    </w:p>
    <w:p w14:paraId="75340142">
      <w:pPr>
        <w:spacing w:line="300" w:lineRule="auto"/>
        <w:ind w:firstLine="420" w:firstLineChars="200"/>
      </w:pPr>
      <w:bookmarkStart w:id="212" w:name="_Toc243285287"/>
      <w:r>
        <w:t>2</w:t>
      </w:r>
      <w:r>
        <w:rPr>
          <w:rFonts w:hint="eastAsia"/>
          <w:szCs w:val="21"/>
        </w:rPr>
        <w:t xml:space="preserve"> </w:t>
      </w:r>
      <w:r>
        <w:rPr>
          <w:rFonts w:hAnsi="宋体"/>
        </w:rPr>
        <w:t>耐久性能检验评定应符合现行行业标准《混凝土耐久性检验评定标准》</w:t>
      </w:r>
      <w:r>
        <w:t>JGJ/T 193</w:t>
      </w:r>
      <w:r>
        <w:rPr>
          <w:rFonts w:hAnsi="宋体"/>
        </w:rPr>
        <w:t>的</w:t>
      </w:r>
      <w:r>
        <w:rPr>
          <w:rFonts w:hint="eastAsia" w:hAnsi="宋体"/>
        </w:rPr>
        <w:t>有关</w:t>
      </w:r>
      <w:r>
        <w:rPr>
          <w:rFonts w:hAnsi="宋体"/>
        </w:rPr>
        <w:t>规定</w:t>
      </w:r>
      <w:bookmarkEnd w:id="212"/>
      <w:r>
        <w:rPr>
          <w:rFonts w:hAnsi="宋体"/>
        </w:rPr>
        <w:t>。</w:t>
      </w:r>
    </w:p>
    <w:p w14:paraId="75340143">
      <w:pPr>
        <w:spacing w:line="300" w:lineRule="auto"/>
        <w:ind w:firstLine="420" w:firstLineChars="200"/>
      </w:pPr>
      <w:bookmarkStart w:id="213" w:name="_Toc243285288"/>
      <w:r>
        <w:t>3</w:t>
      </w:r>
      <w:r>
        <w:rPr>
          <w:rFonts w:hint="eastAsia"/>
          <w:szCs w:val="21"/>
        </w:rPr>
        <w:t xml:space="preserve"> </w:t>
      </w:r>
      <w:r>
        <w:rPr>
          <w:rFonts w:hAnsi="宋体"/>
        </w:rPr>
        <w:t>长期性能检验规则可按现行行业标准《混凝土耐久性检验评定标准》</w:t>
      </w:r>
      <w:r>
        <w:t>JGJ/T 193</w:t>
      </w:r>
      <w:r>
        <w:rPr>
          <w:rFonts w:hAnsi="宋体"/>
        </w:rPr>
        <w:t>中耐久性检验的有关规定执行。</w:t>
      </w:r>
      <w:bookmarkEnd w:id="213"/>
    </w:p>
    <w:p w14:paraId="75340144">
      <w:pPr>
        <w:spacing w:line="300" w:lineRule="auto"/>
        <w:rPr>
          <w:rFonts w:hint="eastAsia" w:hAnsi="宋体"/>
        </w:rPr>
      </w:pPr>
      <w:bookmarkStart w:id="214" w:name="_Toc243285289"/>
      <w:r>
        <w:rPr>
          <w:b/>
          <w:szCs w:val="21"/>
        </w:rPr>
        <w:t xml:space="preserve">7.3.2 </w:t>
      </w:r>
      <w:r>
        <w:rPr>
          <w:szCs w:val="21"/>
        </w:rPr>
        <w:t xml:space="preserve"> </w:t>
      </w:r>
      <w:r>
        <w:rPr>
          <w:rFonts w:hAnsi="宋体"/>
        </w:rPr>
        <w:t>混凝土力学性能应符合本标准第</w:t>
      </w:r>
      <w:r>
        <w:t>3.2</w:t>
      </w:r>
      <w:r>
        <w:rPr>
          <w:rFonts w:hAnsi="宋体"/>
        </w:rPr>
        <w:t>节的规定；长期性能和耐久性能应符合本标准第</w:t>
      </w:r>
      <w:r>
        <w:t>3.3</w:t>
      </w:r>
      <w:r>
        <w:rPr>
          <w:rFonts w:hAnsi="宋体"/>
        </w:rPr>
        <w:t>节的规定。</w:t>
      </w:r>
      <w:bookmarkEnd w:id="214"/>
    </w:p>
    <w:p w14:paraId="75340145">
      <w:pPr>
        <w:spacing w:line="300" w:lineRule="auto"/>
        <w:rPr>
          <w:rFonts w:hint="eastAsia" w:hAnsi="宋体"/>
        </w:rPr>
      </w:pPr>
      <w:r>
        <w:rPr>
          <w:rFonts w:hint="eastAsia" w:hAnsi="宋体"/>
          <w:b/>
          <w:bCs/>
        </w:rPr>
        <w:t xml:space="preserve">7.3.3  </w:t>
      </w:r>
      <w:r>
        <w:rPr>
          <w:rFonts w:hint="eastAsia" w:hAnsi="宋体"/>
        </w:rPr>
        <w:t>混凝土强度取样应在浇筑地点取样。浇筑地点通常为入模处，当入模处不具备取样条件或有试验数据证明浇筑地点和交货地点的硬化混凝土性能差异较小时，可供需双方协商在交货地点进行抽样检验。</w:t>
      </w:r>
    </w:p>
    <w:p w14:paraId="75340146">
      <w:pPr>
        <w:spacing w:before="312" w:beforeLines="100" w:after="312" w:afterLines="100" w:line="300" w:lineRule="auto"/>
        <w:jc w:val="center"/>
        <w:outlineLvl w:val="1"/>
        <w:rPr>
          <w:bCs/>
          <w:sz w:val="24"/>
        </w:rPr>
      </w:pPr>
      <w:bookmarkStart w:id="215" w:name="_Toc201943574"/>
      <w:r>
        <w:rPr>
          <w:rFonts w:hint="eastAsia"/>
          <w:bCs/>
          <w:sz w:val="24"/>
        </w:rPr>
        <w:t>7.4 质量验收</w:t>
      </w:r>
      <w:bookmarkEnd w:id="215"/>
    </w:p>
    <w:p w14:paraId="75340147">
      <w:pPr>
        <w:spacing w:line="300" w:lineRule="auto"/>
      </w:pPr>
      <w:r>
        <w:rPr>
          <w:rFonts w:hint="eastAsia"/>
          <w:b/>
          <w:bCs/>
        </w:rPr>
        <w:t xml:space="preserve">7.4.1 </w:t>
      </w:r>
      <w:r>
        <w:rPr>
          <w:rFonts w:hint="eastAsia"/>
        </w:rPr>
        <w:t>预拌混凝土的出厂检验、交货检验及验收应符合国家现行标准《预拌混凝土》GB/T 14902的规定。</w:t>
      </w:r>
    </w:p>
    <w:p w14:paraId="75340148">
      <w:pPr>
        <w:spacing w:line="300" w:lineRule="auto"/>
      </w:pPr>
      <w:r>
        <w:rPr>
          <w:rFonts w:hint="eastAsia"/>
          <w:b/>
          <w:bCs/>
        </w:rPr>
        <w:t xml:space="preserve">7.4.2 </w:t>
      </w:r>
      <w:r>
        <w:rPr>
          <w:rFonts w:hint="eastAsia"/>
        </w:rPr>
        <w:t>混凝土结构工程施工质量验收应符合国家现行标准《混凝土结构工程施工质量验收规范》GB50204的规定。</w:t>
      </w:r>
    </w:p>
    <w:p w14:paraId="75340149">
      <w:pPr>
        <w:sectPr>
          <w:pgSz w:w="11906" w:h="16838"/>
          <w:pgMar w:top="1440" w:right="1800" w:bottom="1440" w:left="1800" w:header="851" w:footer="992" w:gutter="0"/>
          <w:pgNumType w:fmt="decimal"/>
          <w:cols w:space="425" w:num="1"/>
          <w:docGrid w:type="lines" w:linePitch="312" w:charSpace="0"/>
        </w:sectPr>
      </w:pPr>
    </w:p>
    <w:p w14:paraId="7534014A">
      <w:pPr>
        <w:pStyle w:val="38"/>
        <w:spacing w:before="312" w:after="312"/>
        <w:rPr>
          <w:b w:val="0"/>
        </w:rPr>
      </w:pPr>
      <w:bookmarkStart w:id="216" w:name="_Toc268678445"/>
      <w:bookmarkStart w:id="217" w:name="_Toc275249829"/>
      <w:bookmarkStart w:id="218" w:name="_Toc268120055"/>
      <w:bookmarkStart w:id="219" w:name="_Toc257581544"/>
      <w:bookmarkStart w:id="220" w:name="_Toc257581216"/>
      <w:bookmarkStart w:id="221" w:name="_Toc268120181"/>
      <w:bookmarkStart w:id="222" w:name="_Toc269885310"/>
      <w:bookmarkStart w:id="223" w:name="_Toc201943575"/>
      <w:bookmarkStart w:id="224" w:name="_Toc248138262"/>
      <w:bookmarkStart w:id="225" w:name="_Toc248108630"/>
      <w:r>
        <w:rPr>
          <w:rFonts w:hAnsi="宋体"/>
          <w:b w:val="0"/>
        </w:rPr>
        <w:t>本标准用词说明</w:t>
      </w:r>
      <w:bookmarkEnd w:id="216"/>
      <w:bookmarkEnd w:id="217"/>
      <w:bookmarkEnd w:id="218"/>
      <w:bookmarkEnd w:id="219"/>
      <w:bookmarkEnd w:id="220"/>
      <w:bookmarkEnd w:id="221"/>
      <w:bookmarkEnd w:id="222"/>
      <w:bookmarkEnd w:id="223"/>
    </w:p>
    <w:p w14:paraId="7534014B">
      <w:pPr>
        <w:spacing w:before="156" w:beforeLines="50"/>
        <w:rPr>
          <w:szCs w:val="21"/>
        </w:rPr>
      </w:pPr>
      <w:r>
        <w:rPr>
          <w:szCs w:val="21"/>
        </w:rPr>
        <w:t xml:space="preserve">1  </w:t>
      </w:r>
      <w:r>
        <w:rPr>
          <w:rFonts w:hAnsi="宋体"/>
          <w:szCs w:val="21"/>
        </w:rPr>
        <w:t>为便于在执行本标准条文时区别对待，对要求严格程度不同的用词说明如下：</w:t>
      </w:r>
    </w:p>
    <w:p w14:paraId="7534014C">
      <w:pPr>
        <w:spacing w:before="156" w:beforeLines="50"/>
        <w:rPr>
          <w:szCs w:val="21"/>
        </w:rPr>
      </w:pPr>
      <w:r>
        <w:rPr>
          <w:szCs w:val="21"/>
        </w:rPr>
        <w:t xml:space="preserve">  1</w:t>
      </w:r>
      <w:r>
        <w:rPr>
          <w:rFonts w:hAnsi="宋体"/>
          <w:szCs w:val="21"/>
        </w:rPr>
        <w:t>）表示很严格，非这样做不可的：</w:t>
      </w:r>
    </w:p>
    <w:p w14:paraId="7534014D">
      <w:pPr>
        <w:spacing w:before="156" w:beforeLines="50"/>
        <w:rPr>
          <w:szCs w:val="21"/>
        </w:rPr>
      </w:pPr>
      <w:r>
        <w:rPr>
          <w:szCs w:val="21"/>
        </w:rPr>
        <w:t xml:space="preserve">  </w:t>
      </w:r>
      <w:r>
        <w:rPr>
          <w:rFonts w:hAnsi="宋体"/>
          <w:szCs w:val="21"/>
        </w:rPr>
        <w:t>正面词采用</w:t>
      </w:r>
      <w:r>
        <w:rPr>
          <w:szCs w:val="21"/>
        </w:rPr>
        <w:t>“</w:t>
      </w:r>
      <w:r>
        <w:rPr>
          <w:rFonts w:hAnsi="宋体"/>
          <w:szCs w:val="21"/>
        </w:rPr>
        <w:t>必须</w:t>
      </w:r>
      <w:r>
        <w:rPr>
          <w:szCs w:val="21"/>
        </w:rPr>
        <w:t>”</w:t>
      </w:r>
      <w:r>
        <w:rPr>
          <w:rFonts w:hAnsi="宋体"/>
          <w:szCs w:val="21"/>
        </w:rPr>
        <w:t>，反面词采用</w:t>
      </w:r>
      <w:r>
        <w:rPr>
          <w:szCs w:val="21"/>
        </w:rPr>
        <w:t>“</w:t>
      </w:r>
      <w:r>
        <w:rPr>
          <w:rFonts w:hAnsi="宋体"/>
          <w:szCs w:val="21"/>
        </w:rPr>
        <w:t>严禁</w:t>
      </w:r>
      <w:r>
        <w:rPr>
          <w:szCs w:val="21"/>
        </w:rPr>
        <w:t>”</w:t>
      </w:r>
      <w:r>
        <w:rPr>
          <w:rFonts w:hAnsi="宋体"/>
          <w:szCs w:val="21"/>
        </w:rPr>
        <w:t>；</w:t>
      </w:r>
    </w:p>
    <w:p w14:paraId="7534014E">
      <w:pPr>
        <w:spacing w:before="156" w:beforeLines="50"/>
        <w:rPr>
          <w:szCs w:val="21"/>
        </w:rPr>
      </w:pPr>
      <w:r>
        <w:rPr>
          <w:szCs w:val="21"/>
        </w:rPr>
        <w:t xml:space="preserve">  2</w:t>
      </w:r>
      <w:r>
        <w:rPr>
          <w:rFonts w:hAnsi="宋体"/>
          <w:szCs w:val="21"/>
        </w:rPr>
        <w:t>）表示严格，在正常情况下均应这样做的：</w:t>
      </w:r>
    </w:p>
    <w:p w14:paraId="7534014F">
      <w:pPr>
        <w:spacing w:before="156" w:beforeLines="50"/>
        <w:rPr>
          <w:szCs w:val="21"/>
        </w:rPr>
      </w:pPr>
      <w:r>
        <w:rPr>
          <w:szCs w:val="21"/>
        </w:rPr>
        <w:t xml:space="preserve">  </w:t>
      </w:r>
      <w:r>
        <w:rPr>
          <w:rFonts w:hAnsi="宋体"/>
          <w:szCs w:val="21"/>
        </w:rPr>
        <w:t>正面词采用</w:t>
      </w:r>
      <w:r>
        <w:rPr>
          <w:szCs w:val="21"/>
        </w:rPr>
        <w:t>“</w:t>
      </w:r>
      <w:r>
        <w:rPr>
          <w:rFonts w:hAnsi="宋体"/>
          <w:szCs w:val="21"/>
        </w:rPr>
        <w:t>应</w:t>
      </w:r>
      <w:r>
        <w:rPr>
          <w:szCs w:val="21"/>
        </w:rPr>
        <w:t>”</w:t>
      </w:r>
      <w:r>
        <w:rPr>
          <w:rFonts w:hAnsi="宋体"/>
          <w:szCs w:val="21"/>
        </w:rPr>
        <w:t>，反面词采用</w:t>
      </w:r>
      <w:r>
        <w:rPr>
          <w:szCs w:val="21"/>
        </w:rPr>
        <w:t>“</w:t>
      </w:r>
      <w:r>
        <w:rPr>
          <w:rFonts w:hAnsi="宋体"/>
          <w:szCs w:val="21"/>
        </w:rPr>
        <w:t>不应</w:t>
      </w:r>
      <w:r>
        <w:rPr>
          <w:szCs w:val="21"/>
        </w:rPr>
        <w:t>”</w:t>
      </w:r>
      <w:r>
        <w:rPr>
          <w:rFonts w:hAnsi="宋体"/>
          <w:szCs w:val="21"/>
        </w:rPr>
        <w:t>或</w:t>
      </w:r>
      <w:r>
        <w:rPr>
          <w:szCs w:val="21"/>
        </w:rPr>
        <w:t>“</w:t>
      </w:r>
      <w:r>
        <w:rPr>
          <w:rFonts w:hAnsi="宋体"/>
          <w:szCs w:val="21"/>
        </w:rPr>
        <w:t>不得</w:t>
      </w:r>
      <w:r>
        <w:rPr>
          <w:szCs w:val="21"/>
        </w:rPr>
        <w:t>”</w:t>
      </w:r>
      <w:r>
        <w:rPr>
          <w:rFonts w:hAnsi="宋体"/>
          <w:szCs w:val="21"/>
        </w:rPr>
        <w:t>；</w:t>
      </w:r>
    </w:p>
    <w:p w14:paraId="75340150">
      <w:pPr>
        <w:spacing w:before="156" w:beforeLines="50"/>
        <w:rPr>
          <w:szCs w:val="21"/>
        </w:rPr>
      </w:pPr>
      <w:r>
        <w:rPr>
          <w:szCs w:val="21"/>
        </w:rPr>
        <w:t xml:space="preserve">  3</w:t>
      </w:r>
      <w:r>
        <w:rPr>
          <w:rFonts w:hAnsi="宋体"/>
          <w:szCs w:val="21"/>
        </w:rPr>
        <w:t>）表示允许稍有选择，在条件许可时，首先应这样做的：</w:t>
      </w:r>
    </w:p>
    <w:p w14:paraId="75340151">
      <w:pPr>
        <w:spacing w:before="156" w:beforeLines="50"/>
        <w:rPr>
          <w:szCs w:val="21"/>
        </w:rPr>
      </w:pPr>
      <w:r>
        <w:rPr>
          <w:szCs w:val="21"/>
        </w:rPr>
        <w:t xml:space="preserve">  </w:t>
      </w:r>
      <w:r>
        <w:rPr>
          <w:rFonts w:hAnsi="宋体"/>
          <w:szCs w:val="21"/>
        </w:rPr>
        <w:t>正面词采用</w:t>
      </w:r>
      <w:r>
        <w:rPr>
          <w:szCs w:val="21"/>
        </w:rPr>
        <w:t>“</w:t>
      </w:r>
      <w:r>
        <w:rPr>
          <w:rFonts w:hAnsi="宋体"/>
          <w:szCs w:val="21"/>
        </w:rPr>
        <w:t>宜</w:t>
      </w:r>
      <w:r>
        <w:rPr>
          <w:szCs w:val="21"/>
        </w:rPr>
        <w:t>”</w:t>
      </w:r>
      <w:r>
        <w:rPr>
          <w:rFonts w:hAnsi="宋体"/>
          <w:szCs w:val="21"/>
        </w:rPr>
        <w:t>，反面词采用</w:t>
      </w:r>
      <w:r>
        <w:rPr>
          <w:szCs w:val="21"/>
        </w:rPr>
        <w:t>“</w:t>
      </w:r>
      <w:r>
        <w:rPr>
          <w:rFonts w:hAnsi="宋体"/>
          <w:szCs w:val="21"/>
        </w:rPr>
        <w:t>不宜</w:t>
      </w:r>
      <w:r>
        <w:rPr>
          <w:szCs w:val="21"/>
        </w:rPr>
        <w:t>”</w:t>
      </w:r>
      <w:r>
        <w:rPr>
          <w:rFonts w:hAnsi="宋体"/>
          <w:szCs w:val="21"/>
        </w:rPr>
        <w:t>；</w:t>
      </w:r>
    </w:p>
    <w:p w14:paraId="75340152">
      <w:pPr>
        <w:spacing w:before="156" w:beforeLines="50"/>
        <w:rPr>
          <w:szCs w:val="21"/>
        </w:rPr>
      </w:pPr>
      <w:r>
        <w:rPr>
          <w:szCs w:val="21"/>
        </w:rPr>
        <w:t xml:space="preserve">  4</w:t>
      </w:r>
      <w:r>
        <w:rPr>
          <w:rFonts w:hAnsi="宋体"/>
          <w:szCs w:val="21"/>
        </w:rPr>
        <w:t>）表示有选择，在一定条件下可以这样做的，采用</w:t>
      </w:r>
      <w:r>
        <w:rPr>
          <w:szCs w:val="21"/>
        </w:rPr>
        <w:t>“</w:t>
      </w:r>
      <w:r>
        <w:rPr>
          <w:rFonts w:hAnsi="宋体"/>
          <w:szCs w:val="21"/>
        </w:rPr>
        <w:t>可</w:t>
      </w:r>
      <w:r>
        <w:rPr>
          <w:szCs w:val="21"/>
        </w:rPr>
        <w:t>”</w:t>
      </w:r>
      <w:r>
        <w:rPr>
          <w:rFonts w:hAnsi="宋体"/>
          <w:szCs w:val="21"/>
        </w:rPr>
        <w:t>。</w:t>
      </w:r>
    </w:p>
    <w:p w14:paraId="75340153">
      <w:pPr>
        <w:spacing w:before="156" w:beforeLines="50"/>
        <w:rPr>
          <w:szCs w:val="21"/>
        </w:rPr>
      </w:pPr>
      <w:r>
        <w:rPr>
          <w:szCs w:val="21"/>
        </w:rPr>
        <w:t xml:space="preserve">2  </w:t>
      </w:r>
      <w:r>
        <w:rPr>
          <w:rFonts w:hAnsi="宋体"/>
          <w:szCs w:val="21"/>
        </w:rPr>
        <w:t>条文中指明应按其他有关标准执行的写法为：</w:t>
      </w:r>
      <w:r>
        <w:rPr>
          <w:szCs w:val="21"/>
        </w:rPr>
        <w:t>“</w:t>
      </w:r>
      <w:r>
        <w:rPr>
          <w:rFonts w:hAnsi="宋体"/>
          <w:szCs w:val="21"/>
        </w:rPr>
        <w:t>应符合</w:t>
      </w:r>
      <w:r>
        <w:rPr>
          <w:szCs w:val="21"/>
        </w:rPr>
        <w:t>……</w:t>
      </w:r>
      <w:r>
        <w:rPr>
          <w:rFonts w:hAnsi="宋体"/>
          <w:szCs w:val="21"/>
        </w:rPr>
        <w:t>的规定</w:t>
      </w:r>
      <w:r>
        <w:rPr>
          <w:szCs w:val="21"/>
        </w:rPr>
        <w:t>”</w:t>
      </w:r>
      <w:r>
        <w:rPr>
          <w:rFonts w:hAnsi="宋体"/>
          <w:szCs w:val="21"/>
        </w:rPr>
        <w:t>或</w:t>
      </w:r>
      <w:r>
        <w:rPr>
          <w:szCs w:val="21"/>
        </w:rPr>
        <w:t>“</w:t>
      </w:r>
      <w:r>
        <w:rPr>
          <w:rFonts w:hAnsi="宋体"/>
          <w:szCs w:val="21"/>
        </w:rPr>
        <w:t>应按</w:t>
      </w:r>
      <w:r>
        <w:rPr>
          <w:szCs w:val="21"/>
        </w:rPr>
        <w:t>……</w:t>
      </w:r>
      <w:r>
        <w:rPr>
          <w:rFonts w:hAnsi="宋体"/>
          <w:szCs w:val="21"/>
        </w:rPr>
        <w:t>执行</w:t>
      </w:r>
      <w:r>
        <w:rPr>
          <w:szCs w:val="21"/>
        </w:rPr>
        <w:t>”</w:t>
      </w:r>
      <w:r>
        <w:rPr>
          <w:rFonts w:hAnsi="宋体"/>
          <w:szCs w:val="21"/>
        </w:rPr>
        <w:t>。</w:t>
      </w:r>
    </w:p>
    <w:p w14:paraId="75340154">
      <w:pPr>
        <w:spacing w:before="156" w:beforeLines="50"/>
        <w:rPr>
          <w:szCs w:val="21"/>
        </w:rPr>
        <w:sectPr>
          <w:pgSz w:w="11906" w:h="16838"/>
          <w:pgMar w:top="1440" w:right="1800" w:bottom="1440" w:left="1800" w:header="851" w:footer="992" w:gutter="0"/>
          <w:pgNumType w:fmt="decimal"/>
          <w:cols w:space="425" w:num="1"/>
          <w:docGrid w:type="lines" w:linePitch="312" w:charSpace="0"/>
        </w:sectPr>
      </w:pPr>
    </w:p>
    <w:p w14:paraId="75340155">
      <w:pPr>
        <w:pStyle w:val="38"/>
        <w:spacing w:before="312" w:after="312"/>
        <w:rPr>
          <w:b w:val="0"/>
        </w:rPr>
      </w:pPr>
      <w:bookmarkStart w:id="226" w:name="_Toc201943576"/>
      <w:bookmarkStart w:id="227" w:name="_Toc257581545"/>
      <w:bookmarkStart w:id="228" w:name="_Toc275249830"/>
      <w:bookmarkStart w:id="229" w:name="_Toc269885311"/>
      <w:bookmarkStart w:id="230" w:name="_Toc268120182"/>
      <w:bookmarkStart w:id="231" w:name="_Toc268678446"/>
      <w:bookmarkStart w:id="232" w:name="_Toc257581217"/>
      <w:bookmarkStart w:id="233" w:name="_Toc268120056"/>
      <w:r>
        <w:rPr>
          <w:rFonts w:hAnsi="宋体"/>
          <w:b w:val="0"/>
        </w:rPr>
        <w:t>引用标准名录</w:t>
      </w:r>
      <w:bookmarkEnd w:id="224"/>
      <w:bookmarkEnd w:id="225"/>
      <w:bookmarkEnd w:id="226"/>
      <w:bookmarkEnd w:id="227"/>
      <w:bookmarkEnd w:id="228"/>
      <w:bookmarkEnd w:id="229"/>
      <w:bookmarkEnd w:id="230"/>
      <w:bookmarkEnd w:id="231"/>
      <w:bookmarkEnd w:id="232"/>
      <w:bookmarkEnd w:id="233"/>
    </w:p>
    <w:p w14:paraId="75340156">
      <w:pPr>
        <w:numPr>
          <w:ilvl w:val="0"/>
          <w:numId w:val="2"/>
        </w:numPr>
        <w:spacing w:line="300" w:lineRule="auto"/>
        <w:ind w:left="420"/>
      </w:pPr>
      <w:r>
        <w:rPr>
          <w:rFonts w:hAnsi="宋体"/>
        </w:rPr>
        <w:t>《普通混凝土拌合物性能试验方法标准》</w:t>
      </w:r>
      <w:r>
        <w:t>GB/T 50080</w:t>
      </w:r>
    </w:p>
    <w:p w14:paraId="75340157">
      <w:pPr>
        <w:numPr>
          <w:ilvl w:val="0"/>
          <w:numId w:val="2"/>
        </w:numPr>
        <w:spacing w:line="300" w:lineRule="auto"/>
        <w:ind w:left="420"/>
      </w:pPr>
      <w:r>
        <w:rPr>
          <w:rFonts w:hAnsi="宋体"/>
        </w:rPr>
        <w:t>《混凝土</w:t>
      </w:r>
      <w:r>
        <w:rPr>
          <w:rFonts w:hint="eastAsia" w:hAnsi="宋体"/>
        </w:rPr>
        <w:t>物理</w:t>
      </w:r>
      <w:r>
        <w:rPr>
          <w:rFonts w:hAnsi="宋体"/>
        </w:rPr>
        <w:t>力学性能试验方法标准》</w:t>
      </w:r>
      <w:r>
        <w:t>GB/T 50081</w:t>
      </w:r>
    </w:p>
    <w:p w14:paraId="75340158">
      <w:pPr>
        <w:numPr>
          <w:ilvl w:val="0"/>
          <w:numId w:val="2"/>
        </w:numPr>
        <w:spacing w:line="300" w:lineRule="auto"/>
        <w:ind w:left="420"/>
      </w:pPr>
      <w:r>
        <w:rPr>
          <w:rFonts w:hAnsi="宋体"/>
        </w:rPr>
        <w:t>《混凝土长期性能和耐久性能试验方法标准》</w:t>
      </w:r>
      <w:r>
        <w:t>GB/T 50082</w:t>
      </w:r>
    </w:p>
    <w:p w14:paraId="75340159">
      <w:pPr>
        <w:numPr>
          <w:ilvl w:val="0"/>
          <w:numId w:val="2"/>
        </w:numPr>
        <w:spacing w:line="300" w:lineRule="auto"/>
        <w:ind w:left="420"/>
      </w:pPr>
      <w:r>
        <w:rPr>
          <w:rFonts w:hAnsi="宋体"/>
        </w:rPr>
        <w:t>《混凝土强度检验评定标准》</w:t>
      </w:r>
      <w:r>
        <w:t>GB/T 50107</w:t>
      </w:r>
    </w:p>
    <w:p w14:paraId="7534015A">
      <w:pPr>
        <w:numPr>
          <w:ilvl w:val="0"/>
          <w:numId w:val="2"/>
        </w:numPr>
        <w:spacing w:line="300" w:lineRule="auto"/>
        <w:ind w:left="420"/>
      </w:pPr>
      <w:r>
        <w:rPr>
          <w:rFonts w:hAnsi="宋体"/>
        </w:rPr>
        <w:t>《混凝土外加剂应用技术规程》</w:t>
      </w:r>
      <w:r>
        <w:t>GB 50119</w:t>
      </w:r>
    </w:p>
    <w:p w14:paraId="7534015B">
      <w:pPr>
        <w:numPr>
          <w:ilvl w:val="0"/>
          <w:numId w:val="2"/>
        </w:numPr>
        <w:spacing w:line="300" w:lineRule="auto"/>
        <w:ind w:left="420"/>
      </w:pPr>
      <w:r>
        <w:rPr>
          <w:rFonts w:hAnsi="宋体"/>
        </w:rPr>
        <w:t>《混凝土结构工程施工质量验收规范》</w:t>
      </w:r>
      <w:r>
        <w:t>GB 50204</w:t>
      </w:r>
    </w:p>
    <w:p w14:paraId="7534015C">
      <w:pPr>
        <w:numPr>
          <w:ilvl w:val="0"/>
          <w:numId w:val="2"/>
        </w:numPr>
        <w:spacing w:line="300" w:lineRule="auto"/>
        <w:ind w:left="420"/>
      </w:pPr>
      <w:r>
        <w:rPr>
          <w:rFonts w:hint="eastAsia" w:hAnsi="宋体"/>
          <w:szCs w:val="21"/>
        </w:rPr>
        <w:t>《混凝土结构工程施工规范》GB 50666</w:t>
      </w:r>
    </w:p>
    <w:p w14:paraId="7534015D">
      <w:pPr>
        <w:numPr>
          <w:ilvl w:val="0"/>
          <w:numId w:val="2"/>
        </w:numPr>
        <w:spacing w:line="300" w:lineRule="auto"/>
        <w:ind w:left="420"/>
      </w:pPr>
      <w:r>
        <w:rPr>
          <w:rFonts w:hAnsi="宋体"/>
        </w:rPr>
        <w:t>《通用硅酸盐水泥》</w:t>
      </w:r>
      <w:r>
        <w:t>GB 175</w:t>
      </w:r>
    </w:p>
    <w:p w14:paraId="7534015E">
      <w:pPr>
        <w:numPr>
          <w:ilvl w:val="0"/>
          <w:numId w:val="2"/>
        </w:numPr>
        <w:spacing w:line="300" w:lineRule="auto"/>
        <w:ind w:left="420"/>
      </w:pPr>
      <w:r>
        <w:rPr>
          <w:rFonts w:hAnsi="宋体"/>
        </w:rPr>
        <w:t>《中热硅酸盐水泥</w:t>
      </w:r>
      <w:r>
        <w:t xml:space="preserve"> </w:t>
      </w:r>
      <w:r>
        <w:rPr>
          <w:rFonts w:hAnsi="宋体"/>
        </w:rPr>
        <w:t>低热硅酸盐水泥》</w:t>
      </w:r>
      <w:r>
        <w:t>GB</w:t>
      </w:r>
      <w:r>
        <w:rPr>
          <w:rFonts w:hint="eastAsia"/>
        </w:rPr>
        <w:t>/T</w:t>
      </w:r>
      <w:r>
        <w:t xml:space="preserve"> 200</w:t>
      </w:r>
    </w:p>
    <w:p w14:paraId="7534015F">
      <w:pPr>
        <w:numPr>
          <w:ilvl w:val="0"/>
          <w:numId w:val="2"/>
        </w:numPr>
        <w:spacing w:line="300" w:lineRule="auto"/>
        <w:ind w:left="420"/>
      </w:pPr>
      <w:r>
        <w:rPr>
          <w:rFonts w:hAnsi="宋体"/>
        </w:rPr>
        <w:t>《用于水泥和混凝土中的粉煤灰》</w:t>
      </w:r>
      <w:r>
        <w:t>GB/T 1596</w:t>
      </w:r>
    </w:p>
    <w:p w14:paraId="75340160">
      <w:pPr>
        <w:numPr>
          <w:ilvl w:val="0"/>
          <w:numId w:val="2"/>
        </w:numPr>
        <w:spacing w:line="300" w:lineRule="auto"/>
        <w:ind w:left="420"/>
      </w:pPr>
      <w:r>
        <w:rPr>
          <w:rFonts w:hAnsi="宋体"/>
        </w:rPr>
        <w:t>《建筑材料放射性核素限量》</w:t>
      </w:r>
      <w:r>
        <w:t>GB 6566</w:t>
      </w:r>
    </w:p>
    <w:p w14:paraId="75340161">
      <w:pPr>
        <w:numPr>
          <w:ilvl w:val="0"/>
          <w:numId w:val="2"/>
        </w:numPr>
        <w:spacing w:line="300" w:lineRule="auto"/>
        <w:ind w:left="420"/>
      </w:pPr>
      <w:r>
        <w:rPr>
          <w:rFonts w:hAnsi="宋体"/>
        </w:rPr>
        <w:t>《混凝土外加剂》</w:t>
      </w:r>
      <w:r>
        <w:t>GB 8076</w:t>
      </w:r>
    </w:p>
    <w:p w14:paraId="75340162">
      <w:pPr>
        <w:numPr>
          <w:ilvl w:val="0"/>
          <w:numId w:val="2"/>
        </w:numPr>
        <w:spacing w:line="300" w:lineRule="auto"/>
        <w:ind w:left="420"/>
      </w:pPr>
      <w:r>
        <w:rPr>
          <w:rFonts w:hAnsi="宋体"/>
        </w:rPr>
        <w:t>《混凝土搅拌机》</w:t>
      </w:r>
      <w:r>
        <w:t>GB/T 9142</w:t>
      </w:r>
    </w:p>
    <w:p w14:paraId="75340163">
      <w:pPr>
        <w:numPr>
          <w:ilvl w:val="0"/>
          <w:numId w:val="2"/>
        </w:numPr>
        <w:spacing w:line="300" w:lineRule="auto"/>
        <w:ind w:left="420"/>
      </w:pPr>
      <w:r>
        <w:rPr>
          <w:rFonts w:hAnsi="宋体"/>
        </w:rPr>
        <w:t>《混凝土搅拌站</w:t>
      </w:r>
      <w:r>
        <w:t>(</w:t>
      </w:r>
      <w:r>
        <w:rPr>
          <w:rFonts w:hAnsi="宋体"/>
        </w:rPr>
        <w:t>楼</w:t>
      </w:r>
      <w:r>
        <w:t>)</w:t>
      </w:r>
      <w:r>
        <w:rPr>
          <w:rFonts w:hAnsi="宋体"/>
        </w:rPr>
        <w:t>》</w:t>
      </w:r>
      <w:r>
        <w:t>GB/T 10171</w:t>
      </w:r>
    </w:p>
    <w:p w14:paraId="75340164">
      <w:pPr>
        <w:numPr>
          <w:ilvl w:val="0"/>
          <w:numId w:val="2"/>
        </w:numPr>
        <w:spacing w:line="300" w:lineRule="auto"/>
        <w:ind w:left="420"/>
      </w:pPr>
      <w:r>
        <w:rPr>
          <w:rFonts w:hint="eastAsia" w:hAnsi="宋体"/>
          <w:szCs w:val="21"/>
        </w:rPr>
        <w:t>《建设用卵石、碎石》GB/T 14685</w:t>
      </w:r>
    </w:p>
    <w:p w14:paraId="75340165">
      <w:pPr>
        <w:numPr>
          <w:ilvl w:val="0"/>
          <w:numId w:val="2"/>
        </w:numPr>
        <w:spacing w:line="300" w:lineRule="auto"/>
        <w:ind w:left="420"/>
      </w:pPr>
      <w:r>
        <w:rPr>
          <w:rFonts w:hint="eastAsia"/>
          <w:szCs w:val="18"/>
        </w:rPr>
        <w:t>轻集料及其试验方法 第1部分-轻集料》</w:t>
      </w:r>
      <w:r>
        <w:t>GB/T 17431</w:t>
      </w:r>
      <w:r>
        <w:rPr>
          <w:rFonts w:hint="eastAsia"/>
        </w:rPr>
        <w:t>.1</w:t>
      </w:r>
    </w:p>
    <w:p w14:paraId="75340166">
      <w:pPr>
        <w:numPr>
          <w:ilvl w:val="0"/>
          <w:numId w:val="2"/>
        </w:numPr>
        <w:spacing w:line="300" w:lineRule="auto"/>
        <w:ind w:left="420"/>
      </w:pPr>
      <w:r>
        <w:rPr>
          <w:rFonts w:hAnsi="宋体"/>
        </w:rPr>
        <w:t>《用于水泥</w:t>
      </w:r>
      <w:r>
        <w:rPr>
          <w:rFonts w:hint="eastAsia" w:hAnsi="宋体"/>
        </w:rPr>
        <w:t>、砂浆</w:t>
      </w:r>
      <w:r>
        <w:rPr>
          <w:rFonts w:hAnsi="宋体"/>
        </w:rPr>
        <w:t>和混凝土中的粒化高炉矿渣粉》</w:t>
      </w:r>
      <w:r>
        <w:t>GB/T 18046</w:t>
      </w:r>
    </w:p>
    <w:p w14:paraId="75340167">
      <w:pPr>
        <w:numPr>
          <w:ilvl w:val="0"/>
          <w:numId w:val="2"/>
        </w:numPr>
        <w:spacing w:line="300" w:lineRule="auto"/>
        <w:ind w:left="420"/>
      </w:pPr>
      <w:r>
        <w:rPr>
          <w:rFonts w:hint="eastAsia" w:hAnsi="宋体"/>
        </w:rPr>
        <w:t>《用于水泥和混凝土中的钢渣粉》GB/T 20491</w:t>
      </w:r>
    </w:p>
    <w:p w14:paraId="75340168">
      <w:pPr>
        <w:numPr>
          <w:ilvl w:val="0"/>
          <w:numId w:val="2"/>
        </w:numPr>
        <w:spacing w:line="300" w:lineRule="auto"/>
        <w:ind w:left="420"/>
      </w:pPr>
      <w:r>
        <w:rPr>
          <w:rFonts w:hint="eastAsia"/>
          <w:bCs/>
          <w:szCs w:val="21"/>
        </w:rPr>
        <w:t>水泥混凝土和砂浆用合成纤维》</w:t>
      </w:r>
      <w:r>
        <w:rPr>
          <w:bCs/>
          <w:szCs w:val="21"/>
        </w:rPr>
        <w:t>GB/T 21120</w:t>
      </w:r>
    </w:p>
    <w:p w14:paraId="75340169">
      <w:pPr>
        <w:numPr>
          <w:ilvl w:val="0"/>
          <w:numId w:val="2"/>
        </w:numPr>
        <w:spacing w:line="300" w:lineRule="auto"/>
        <w:ind w:left="420"/>
      </w:pPr>
      <w:r>
        <w:rPr>
          <w:rFonts w:hint="eastAsia"/>
          <w:bCs/>
          <w:szCs w:val="21"/>
        </w:rPr>
        <w:t>《</w:t>
      </w:r>
      <w:r>
        <w:rPr>
          <w:bCs/>
          <w:szCs w:val="21"/>
        </w:rPr>
        <w:t>水泥混凝土和砂浆用短切玄武岩纤维</w:t>
      </w:r>
      <w:r>
        <w:rPr>
          <w:rFonts w:hint="eastAsia"/>
          <w:bCs/>
          <w:szCs w:val="21"/>
        </w:rPr>
        <w:t>》</w:t>
      </w:r>
      <w:r>
        <w:rPr>
          <w:bCs/>
          <w:szCs w:val="21"/>
        </w:rPr>
        <w:t>GB/T 23265</w:t>
      </w:r>
    </w:p>
    <w:p w14:paraId="7534016A">
      <w:pPr>
        <w:numPr>
          <w:ilvl w:val="0"/>
          <w:numId w:val="2"/>
        </w:numPr>
        <w:spacing w:line="300" w:lineRule="auto"/>
        <w:ind w:left="420"/>
      </w:pPr>
      <w:r>
        <w:rPr>
          <w:rFonts w:hAnsi="宋体"/>
          <w:szCs w:val="21"/>
        </w:rPr>
        <w:t>《混凝土膨胀剂》</w:t>
      </w:r>
      <w:r>
        <w:rPr>
          <w:szCs w:val="21"/>
        </w:rPr>
        <w:t>GB 23439</w:t>
      </w:r>
    </w:p>
    <w:p w14:paraId="7534016B">
      <w:pPr>
        <w:numPr>
          <w:ilvl w:val="0"/>
          <w:numId w:val="2"/>
        </w:numPr>
        <w:spacing w:line="300" w:lineRule="auto"/>
        <w:ind w:left="420"/>
      </w:pPr>
      <w:r>
        <w:rPr>
          <w:rFonts w:hint="eastAsia"/>
          <w:szCs w:val="21"/>
        </w:rPr>
        <w:t>《混凝土和砂浆用再生细骨料》GB/T 25176</w:t>
      </w:r>
    </w:p>
    <w:p w14:paraId="7534016C">
      <w:pPr>
        <w:numPr>
          <w:ilvl w:val="0"/>
          <w:numId w:val="2"/>
        </w:numPr>
        <w:spacing w:line="300" w:lineRule="auto"/>
        <w:ind w:left="420"/>
      </w:pPr>
      <w:r>
        <w:rPr>
          <w:rFonts w:hint="eastAsia"/>
          <w:szCs w:val="21"/>
        </w:rPr>
        <w:t>《混凝土用再生粗骨料》GB/T 25177</w:t>
      </w:r>
    </w:p>
    <w:p w14:paraId="7534016D">
      <w:pPr>
        <w:numPr>
          <w:ilvl w:val="0"/>
          <w:numId w:val="2"/>
        </w:numPr>
        <w:spacing w:line="300" w:lineRule="auto"/>
        <w:ind w:left="420"/>
      </w:pPr>
      <w:r>
        <w:rPr>
          <w:rFonts w:hint="eastAsia" w:hAnsi="宋体"/>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砂浆和混凝土用硅灰</w:t>
      </w:r>
      <w:r>
        <w:rPr>
          <w:rFonts w:hint="eastAsia" w:hAnsi="宋体"/>
          <w:color w:val="000000" w:themeColor="text1"/>
          <w:szCs w:val="21"/>
          <w14:textFill>
            <w14:solidFill>
              <w14:schemeClr w14:val="tx1"/>
            </w14:solidFill>
          </w14:textFill>
        </w:rPr>
        <w:t>》</w:t>
      </w:r>
      <w:r>
        <w:rPr>
          <w:color w:val="000000" w:themeColor="text1"/>
          <w:szCs w:val="21"/>
          <w14:textFill>
            <w14:solidFill>
              <w14:schemeClr w14:val="tx1"/>
            </w14:solidFill>
          </w14:textFill>
        </w:rPr>
        <w:t xml:space="preserve">GB/T </w:t>
      </w:r>
      <w:r>
        <w:rPr>
          <w:rFonts w:hint="eastAsia"/>
          <w:color w:val="000000" w:themeColor="text1"/>
          <w:szCs w:val="21"/>
          <w14:textFill>
            <w14:solidFill>
              <w14:schemeClr w14:val="tx1"/>
            </w14:solidFill>
          </w14:textFill>
        </w:rPr>
        <w:t>27690</w:t>
      </w:r>
    </w:p>
    <w:p w14:paraId="7534016E">
      <w:pPr>
        <w:numPr>
          <w:ilvl w:val="0"/>
          <w:numId w:val="2"/>
        </w:numPr>
        <w:spacing w:line="300" w:lineRule="auto"/>
        <w:ind w:left="420"/>
      </w:pPr>
      <w:r>
        <w:rPr>
          <w:rFonts w:hint="eastAsia"/>
          <w:color w:val="000000" w:themeColor="text1"/>
          <w14:textFill>
            <w14:solidFill>
              <w14:schemeClr w14:val="tx1"/>
            </w14:solidFill>
          </w14:textFill>
        </w:rPr>
        <w:t>《</w:t>
      </w:r>
      <w:r>
        <w:rPr>
          <w:rFonts w:hint="eastAsia"/>
          <w:color w:val="000000" w:themeColor="text1"/>
          <w:szCs w:val="18"/>
          <w14:textFill>
            <w14:solidFill>
              <w14:schemeClr w14:val="tx1"/>
            </w14:solidFill>
          </w14:textFill>
        </w:rPr>
        <w:t>石灰石粉混凝土</w:t>
      </w:r>
      <w:r>
        <w:rPr>
          <w:rFonts w:hint="eastAsia"/>
          <w:color w:val="000000" w:themeColor="text1"/>
          <w14:textFill>
            <w14:solidFill>
              <w14:schemeClr w14:val="tx1"/>
            </w14:solidFill>
          </w14:textFill>
        </w:rPr>
        <w:t>》GB/T 30190</w:t>
      </w:r>
    </w:p>
    <w:p w14:paraId="7534016F">
      <w:pPr>
        <w:numPr>
          <w:ilvl w:val="0"/>
          <w:numId w:val="2"/>
        </w:numPr>
        <w:spacing w:line="300" w:lineRule="auto"/>
        <w:ind w:left="420"/>
      </w:pPr>
      <w:r>
        <w:rPr>
          <w:rFonts w:hint="eastAsia" w:hAnsi="宋体"/>
          <w:szCs w:val="21"/>
        </w:rPr>
        <w:t>《核电工程用硅酸盐水泥》GB/T 31545</w:t>
      </w:r>
    </w:p>
    <w:p w14:paraId="75340170">
      <w:pPr>
        <w:numPr>
          <w:ilvl w:val="0"/>
          <w:numId w:val="2"/>
        </w:numPr>
        <w:spacing w:line="300" w:lineRule="auto"/>
        <w:ind w:left="420"/>
      </w:pPr>
      <w:r>
        <w:rPr>
          <w:rFonts w:hint="eastAsia"/>
          <w:szCs w:val="18"/>
        </w:rPr>
        <w:t>《防辐射混凝土》</w:t>
      </w:r>
      <w:r>
        <w:t>GB/T 34008</w:t>
      </w:r>
    </w:p>
    <w:p w14:paraId="75340171">
      <w:pPr>
        <w:numPr>
          <w:ilvl w:val="0"/>
          <w:numId w:val="2"/>
        </w:numPr>
        <w:spacing w:line="300" w:lineRule="auto"/>
        <w:ind w:left="420"/>
      </w:pPr>
      <w:r>
        <w:rPr>
          <w:rFonts w:hint="eastAsia"/>
          <w:bCs/>
          <w:szCs w:val="21"/>
        </w:rPr>
        <w:t>《</w:t>
      </w:r>
      <w:r>
        <w:rPr>
          <w:bCs/>
          <w:szCs w:val="21"/>
        </w:rPr>
        <w:t>水泥混凝土和砂浆用耐碱玻璃纤维</w:t>
      </w:r>
      <w:r>
        <w:rPr>
          <w:rFonts w:hint="eastAsia"/>
          <w:bCs/>
          <w:szCs w:val="21"/>
        </w:rPr>
        <w:t>》</w:t>
      </w:r>
      <w:r>
        <w:rPr>
          <w:bCs/>
          <w:szCs w:val="21"/>
        </w:rPr>
        <w:t>GB∕T 38143</w:t>
      </w:r>
    </w:p>
    <w:p w14:paraId="75340172">
      <w:pPr>
        <w:numPr>
          <w:ilvl w:val="0"/>
          <w:numId w:val="2"/>
        </w:numPr>
        <w:spacing w:line="300" w:lineRule="auto"/>
        <w:ind w:left="420"/>
      </w:pPr>
      <w:r>
        <w:rPr>
          <w:rFonts w:hint="eastAsia"/>
          <w:bCs/>
          <w:szCs w:val="21"/>
        </w:rPr>
        <w:t>《混凝土用钢纤维》</w:t>
      </w:r>
      <w:r>
        <w:rPr>
          <w:bCs/>
          <w:szCs w:val="21"/>
        </w:rPr>
        <w:t>GB∕T 39147</w:t>
      </w:r>
    </w:p>
    <w:p w14:paraId="75340173">
      <w:pPr>
        <w:numPr>
          <w:ilvl w:val="0"/>
          <w:numId w:val="2"/>
        </w:numPr>
        <w:spacing w:line="300" w:lineRule="auto"/>
        <w:ind w:left="420"/>
      </w:pPr>
      <w:r>
        <w:rPr>
          <w:rFonts w:hint="eastAsia"/>
          <w:color w:val="000000" w:themeColor="text1"/>
          <w14:textFill>
            <w14:solidFill>
              <w14:schemeClr w14:val="tx1"/>
            </w14:solidFill>
          </w14:textFill>
        </w:rPr>
        <w:t>《粉煤灰中铵离子含量的限量及检验方法》GB/T 39701</w:t>
      </w:r>
    </w:p>
    <w:p w14:paraId="75340174">
      <w:pPr>
        <w:numPr>
          <w:ilvl w:val="0"/>
          <w:numId w:val="2"/>
        </w:numPr>
        <w:spacing w:line="300" w:lineRule="auto"/>
        <w:ind w:left="420"/>
      </w:pPr>
      <w:r>
        <w:rPr>
          <w:rFonts w:hint="eastAsia"/>
        </w:rPr>
        <w:t>《</w:t>
      </w:r>
      <w:r>
        <w:t xml:space="preserve"> </w:t>
      </w:r>
      <w:r>
        <w:rPr>
          <w:rFonts w:hAnsi="宋体"/>
        </w:rPr>
        <w:t>低热矿渣硅酸盐水泥</w:t>
      </w:r>
      <w:r>
        <w:rPr>
          <w:rFonts w:hint="eastAsia"/>
        </w:rPr>
        <w:t>》GB/T 42531</w:t>
      </w:r>
    </w:p>
    <w:p w14:paraId="75340175">
      <w:pPr>
        <w:numPr>
          <w:ilvl w:val="0"/>
          <w:numId w:val="2"/>
        </w:numPr>
        <w:spacing w:line="300" w:lineRule="auto"/>
        <w:ind w:left="420"/>
      </w:pPr>
      <w:r>
        <w:rPr>
          <w:rFonts w:hAnsi="宋体"/>
        </w:rPr>
        <w:t>《混凝土泵送施工技术规程》</w:t>
      </w:r>
      <w:r>
        <w:t>JGJ/T 10</w:t>
      </w:r>
    </w:p>
    <w:p w14:paraId="75340176">
      <w:pPr>
        <w:numPr>
          <w:ilvl w:val="0"/>
          <w:numId w:val="2"/>
        </w:numPr>
        <w:spacing w:line="300" w:lineRule="auto"/>
        <w:ind w:left="420"/>
      </w:pPr>
      <w:r>
        <w:rPr>
          <w:rFonts w:hAnsi="宋体"/>
        </w:rPr>
        <w:t>《普通混凝土用砂、石质量及检验方法标准》</w:t>
      </w:r>
      <w:r>
        <w:t>JGJ 52</w:t>
      </w:r>
    </w:p>
    <w:p w14:paraId="75340177">
      <w:pPr>
        <w:numPr>
          <w:ilvl w:val="0"/>
          <w:numId w:val="2"/>
        </w:numPr>
        <w:spacing w:line="300" w:lineRule="auto"/>
        <w:ind w:left="420"/>
      </w:pPr>
      <w:r>
        <w:rPr>
          <w:rFonts w:hAnsi="宋体"/>
        </w:rPr>
        <w:t>《普通混凝土配合比设计规程》</w:t>
      </w:r>
      <w:r>
        <w:t>JGJ 55</w:t>
      </w:r>
    </w:p>
    <w:p w14:paraId="75340178">
      <w:pPr>
        <w:numPr>
          <w:ilvl w:val="0"/>
          <w:numId w:val="2"/>
        </w:numPr>
        <w:spacing w:line="300" w:lineRule="auto"/>
        <w:ind w:left="420"/>
      </w:pPr>
      <w:r>
        <w:rPr>
          <w:rFonts w:hAnsi="宋体"/>
        </w:rPr>
        <w:t>《混凝土用水标准》</w:t>
      </w:r>
      <w:r>
        <w:t>JGJ 63</w:t>
      </w:r>
    </w:p>
    <w:p w14:paraId="75340179">
      <w:pPr>
        <w:numPr>
          <w:ilvl w:val="0"/>
          <w:numId w:val="2"/>
        </w:numPr>
        <w:spacing w:line="300" w:lineRule="auto"/>
        <w:ind w:left="420"/>
      </w:pPr>
      <w:r>
        <w:rPr>
          <w:rFonts w:hint="eastAsia" w:hAnsi="宋体"/>
          <w:szCs w:val="21"/>
        </w:rPr>
        <w:t>《建筑工程冬期施工规程》JGJ/T 104</w:t>
      </w:r>
    </w:p>
    <w:p w14:paraId="7534017A">
      <w:pPr>
        <w:numPr>
          <w:ilvl w:val="0"/>
          <w:numId w:val="2"/>
        </w:numPr>
        <w:spacing w:line="300" w:lineRule="auto"/>
        <w:ind w:left="420"/>
      </w:pPr>
      <w:r>
        <w:rPr>
          <w:rFonts w:hAnsi="宋体"/>
        </w:rPr>
        <w:t>《混凝土耐久性检验评定标准》</w:t>
      </w:r>
      <w:r>
        <w:t>JGJ/T 193</w:t>
      </w:r>
    </w:p>
    <w:p w14:paraId="7534017B">
      <w:pPr>
        <w:numPr>
          <w:ilvl w:val="0"/>
          <w:numId w:val="2"/>
        </w:numPr>
        <w:spacing w:line="300" w:lineRule="auto"/>
        <w:ind w:left="420"/>
      </w:pPr>
      <w:r>
        <w:rPr>
          <w:rFonts w:hAnsi="宋体"/>
        </w:rPr>
        <w:t>《海砂混凝土应用技术规范》</w:t>
      </w:r>
      <w:r>
        <w:t>JGJ 206</w:t>
      </w:r>
    </w:p>
    <w:p w14:paraId="7534017C">
      <w:pPr>
        <w:numPr>
          <w:ilvl w:val="0"/>
          <w:numId w:val="2"/>
        </w:numPr>
        <w:spacing w:line="300" w:lineRule="auto"/>
        <w:ind w:left="420"/>
      </w:pPr>
      <w:r>
        <w:rPr>
          <w:rFonts w:hint="eastAsia"/>
          <w:bCs/>
          <w:szCs w:val="21"/>
        </w:rPr>
        <w:t>《纤维混凝土应用技术规程》JGJ/T 221</w:t>
      </w:r>
    </w:p>
    <w:p w14:paraId="7534017D">
      <w:pPr>
        <w:numPr>
          <w:ilvl w:val="0"/>
          <w:numId w:val="2"/>
        </w:numPr>
        <w:spacing w:line="300" w:lineRule="auto"/>
        <w:ind w:left="420"/>
      </w:pPr>
      <w:r>
        <w:rPr>
          <w:rFonts w:hint="eastAsia" w:hAnsi="宋体"/>
          <w:szCs w:val="21"/>
        </w:rPr>
        <w:t>《</w:t>
      </w:r>
      <w:r>
        <w:rPr>
          <w:rFonts w:hint="eastAsia"/>
        </w:rPr>
        <w:t>聚羧酸系高性能减水剂</w:t>
      </w:r>
      <w:r>
        <w:rPr>
          <w:rFonts w:hint="eastAsia" w:hAnsi="宋体"/>
          <w:szCs w:val="21"/>
        </w:rPr>
        <w:t>》JG/T 223</w:t>
      </w:r>
    </w:p>
    <w:p w14:paraId="7534017E">
      <w:pPr>
        <w:numPr>
          <w:ilvl w:val="0"/>
          <w:numId w:val="2"/>
        </w:numPr>
        <w:spacing w:line="300" w:lineRule="auto"/>
        <w:ind w:left="420"/>
      </w:pPr>
      <w:r>
        <w:rPr>
          <w:rFonts w:hint="eastAsia"/>
          <w:color w:val="000000" w:themeColor="text1"/>
          <w14:textFill>
            <w14:solidFill>
              <w14:schemeClr w14:val="tx1"/>
            </w14:solidFill>
          </w14:textFill>
        </w:rPr>
        <w:t>《水泥砂浆和混凝土用天然火山灰质材料》JG/T 315</w:t>
      </w:r>
    </w:p>
    <w:p w14:paraId="7534017F">
      <w:pPr>
        <w:numPr>
          <w:ilvl w:val="0"/>
          <w:numId w:val="2"/>
        </w:numPr>
        <w:spacing w:line="300" w:lineRule="auto"/>
        <w:ind w:left="420"/>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混凝土用粒化电炉磷渣粉</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JG/T</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317</w:t>
      </w:r>
    </w:p>
    <w:p w14:paraId="75340180">
      <w:pPr>
        <w:numPr>
          <w:ilvl w:val="0"/>
          <w:numId w:val="2"/>
        </w:numPr>
        <w:spacing w:line="300" w:lineRule="auto"/>
        <w:ind w:left="420"/>
      </w:pPr>
      <w:r>
        <w:rPr>
          <w:rFonts w:hint="eastAsia"/>
          <w:color w:val="000000" w:themeColor="text1"/>
          <w14:textFill>
            <w14:solidFill>
              <w14:schemeClr w14:val="tx1"/>
            </w14:solidFill>
          </w14:textFill>
        </w:rPr>
        <w:t>《混凝土用复合掺合料》JG/T 486</w:t>
      </w:r>
    </w:p>
    <w:p w14:paraId="75340181">
      <w:pPr>
        <w:numPr>
          <w:ilvl w:val="0"/>
          <w:numId w:val="2"/>
        </w:numPr>
        <w:spacing w:line="300" w:lineRule="auto"/>
        <w:ind w:left="420"/>
      </w:pPr>
      <w:r>
        <w:rPr>
          <w:rFonts w:hint="eastAsia"/>
          <w:color w:val="000000" w:themeColor="text1"/>
          <w14:textFill>
            <w14:solidFill>
              <w14:schemeClr w14:val="tx1"/>
            </w14:solidFill>
          </w14:textFill>
        </w:rPr>
        <w:t>《混凝土和砂浆用天然沸石粉》JG/T 566</w:t>
      </w:r>
    </w:p>
    <w:p w14:paraId="75340182">
      <w:pPr>
        <w:numPr>
          <w:ilvl w:val="0"/>
          <w:numId w:val="2"/>
        </w:numPr>
        <w:spacing w:line="300" w:lineRule="auto"/>
        <w:ind w:left="420"/>
      </w:pPr>
      <w:r>
        <w:rPr>
          <w:rFonts w:hint="eastAsia"/>
          <w:szCs w:val="21"/>
        </w:rPr>
        <w:t>《高性能混凝土用骨料》JG/T 568</w:t>
      </w:r>
    </w:p>
    <w:p w14:paraId="75340183"/>
    <w:p w14:paraId="75340185">
      <w:pPr>
        <w:snapToGrid w:val="0"/>
        <w:jc w:val="center"/>
        <w:rPr>
          <w:sz w:val="32"/>
          <w:szCs w:val="32"/>
        </w:rPr>
      </w:pPr>
    </w:p>
    <w:p w14:paraId="75340186">
      <w:pPr>
        <w:snapToGrid w:val="0"/>
        <w:jc w:val="center"/>
        <w:rPr>
          <w:sz w:val="32"/>
          <w:szCs w:val="32"/>
        </w:rPr>
      </w:pPr>
    </w:p>
    <w:p w14:paraId="75340187">
      <w:pPr>
        <w:snapToGrid w:val="0"/>
        <w:jc w:val="center"/>
        <w:rPr>
          <w:sz w:val="32"/>
          <w:szCs w:val="32"/>
        </w:rPr>
      </w:pPr>
    </w:p>
    <w:p w14:paraId="7534028D">
      <w:pPr>
        <w:spacing w:before="156" w:beforeLines="50"/>
        <w:rPr>
          <w:strike/>
        </w:rPr>
      </w:pPr>
    </w:p>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entury">
    <w:altName w:val="Times New Roman"/>
    <w:panose1 w:val="02040604050505020304"/>
    <w:charset w:val="00"/>
    <w:family w:val="roman"/>
    <w:pitch w:val="default"/>
    <w:sig w:usb0="00000000" w:usb1="00000000" w:usb2="00000000" w:usb3="00000000" w:csb0="0000009F" w:csb1="00000000"/>
  </w:font>
  <w:font w:name="Verdana">
    <w:panose1 w:val="020B0604030504040204"/>
    <w:charset w:val="00"/>
    <w:family w:val="swiss"/>
    <w:pitch w:val="default"/>
    <w:sig w:usb0="A00006FF" w:usb1="4000205B" w:usb2="00000010" w:usb3="00000000" w:csb0="2000019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02AA">
    <w:pPr>
      <w:pStyle w:val="10"/>
      <w:framePr w:wrap="around" w:vAnchor="text" w:hAnchor="margin" w:xAlign="center" w:y="1"/>
      <w:rPr>
        <w:rStyle w:val="20"/>
      </w:rPr>
    </w:pPr>
    <w:r>
      <w:rPr>
        <w:rStyle w:val="20"/>
      </w:rPr>
      <w:fldChar w:fldCharType="begin"/>
    </w:r>
    <w:r>
      <w:rPr>
        <w:rStyle w:val="20"/>
      </w:rPr>
      <w:instrText xml:space="preserve">PAGE  </w:instrText>
    </w:r>
    <w:r>
      <w:rPr>
        <w:rStyle w:val="20"/>
      </w:rPr>
      <w:fldChar w:fldCharType="end"/>
    </w:r>
  </w:p>
  <w:p w14:paraId="753402AB">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02AE">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A24CAD">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A24CAD">
                    <w:pPr>
                      <w:pStyle w:val="10"/>
                    </w:pPr>
                    <w:r>
                      <w:fldChar w:fldCharType="begin"/>
                    </w:r>
                    <w:r>
                      <w:instrText xml:space="preserve"> PAGE  \* MERGEFORMAT </w:instrText>
                    </w:r>
                    <w:r>
                      <w:fldChar w:fldCharType="separate"/>
                    </w:r>
                    <w:r>
                      <w:t>1</w:t>
                    </w:r>
                    <w:r>
                      <w:fldChar w:fldCharType="end"/>
                    </w:r>
                  </w:p>
                </w:txbxContent>
              </v:textbox>
            </v:shape>
          </w:pict>
        </mc:Fallback>
      </mc:AlternateContent>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02AF">
    <w:pPr>
      <w:pStyle w:val="10"/>
    </w:pPr>
    <w:r>
      <w:tab/>
    </w:r>
    <w:r>
      <w:t xml:space="preserve">- </w:t>
    </w:r>
    <w:r>
      <w:fldChar w:fldCharType="begin"/>
    </w:r>
    <w:r>
      <w:instrText xml:space="preserve"> PAGE </w:instrText>
    </w:r>
    <w:r>
      <w:fldChar w:fldCharType="separate"/>
    </w:r>
    <w:r>
      <w:t>II</w:t>
    </w:r>
    <w:r>
      <w:fldChar w:fldCharType="end"/>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02B0">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088A10C">
                          <w:pPr>
                            <w:pStyle w:val="10"/>
                          </w:pPr>
                          <w:r>
                            <w:tab/>
                          </w:r>
                          <w:r>
                            <w:t xml:space="preserve">- </w:t>
                          </w:r>
                          <w:r>
                            <w:fldChar w:fldCharType="begin"/>
                          </w:r>
                          <w:r>
                            <w:instrText xml:space="preserve"> PAGE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14:paraId="7088A10C">
                    <w:pPr>
                      <w:pStyle w:val="10"/>
                    </w:pPr>
                    <w:r>
                      <w:tab/>
                    </w:r>
                    <w:r>
                      <w:t xml:space="preserve">- </w:t>
                    </w:r>
                    <w:r>
                      <w:fldChar w:fldCharType="begin"/>
                    </w:r>
                    <w:r>
                      <w:instrText xml:space="preserve"> PAGE </w:instrText>
                    </w:r>
                    <w:r>
                      <w:fldChar w:fldCharType="separate"/>
                    </w:r>
                    <w:r>
                      <w:t>1</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02B1">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C538FF1">
                          <w:pPr>
                            <w:pStyle w:val="10"/>
                          </w:pPr>
                          <w:r>
                            <w:tab/>
                          </w:r>
                          <w:r>
                            <w:t xml:space="preserve">- </w:t>
                          </w:r>
                          <w:r>
                            <w:fldChar w:fldCharType="begin"/>
                          </w:r>
                          <w:r>
                            <w:instrText xml:space="preserve"> PAGE </w:instrText>
                          </w:r>
                          <w:r>
                            <w:fldChar w:fldCharType="separate"/>
                          </w:r>
                          <w:r>
                            <w:t>34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fill on="f" focussize="0,0"/>
              <v:stroke on="f" weight="0.5pt"/>
              <v:imagedata o:title=""/>
              <o:lock v:ext="edit" aspectratio="f"/>
              <v:textbox inset="0mm,0mm,0mm,0mm" style="mso-fit-shape-to-text:t;">
                <w:txbxContent>
                  <w:p w14:paraId="5C538FF1">
                    <w:pPr>
                      <w:pStyle w:val="10"/>
                    </w:pPr>
                    <w:r>
                      <w:tab/>
                    </w:r>
                    <w:r>
                      <w:t xml:space="preserve">- </w:t>
                    </w:r>
                    <w:r>
                      <w:fldChar w:fldCharType="begin"/>
                    </w:r>
                    <w:r>
                      <w:instrText xml:space="preserve"> PAGE </w:instrText>
                    </w:r>
                    <w:r>
                      <w:fldChar w:fldCharType="separate"/>
                    </w:r>
                    <w:r>
                      <w:t>34</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02B5">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857876D">
                          <w:pPr>
                            <w:pStyle w:val="10"/>
                          </w:pPr>
                          <w:r>
                            <w:tab/>
                          </w:r>
                          <w:r>
                            <w:t xml:space="preserve">- </w:t>
                          </w:r>
                          <w:r>
                            <w:fldChar w:fldCharType="begin"/>
                          </w:r>
                          <w:r>
                            <w:instrText xml:space="preserve"> PAGE </w:instrText>
                          </w:r>
                          <w:r>
                            <w:fldChar w:fldCharType="separate"/>
                          </w:r>
                          <w:r>
                            <w:t>54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J8jdAgAAJA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hJEkDRT8&#10;/tvX++8/7398QSMvz1bbCUTdaohzu0u1g6bp9y1seta7yjT+H/gg8IO4dwdx2c4h6g+lgzSNwEXB&#10;1y8APzwe18a6V0w1yBsZNlC9VlSyWVjXhfYh/japCi5EW0Eh0TbDw9OzqD1w8AC4kD4WsgCMvdVV&#10;5tM4Gl+lV2kSJIPhVZBEeR7MinkSDIt4dJaf5vN5Hn/2eHEyqXlZMunv67skTp5XhX2ndPU99IlV&#10;gpcezqdkzWo5FwZtCHRp0f68wpD8g7DwcRqtG1g9oRQPkuhyMA6KYToKkiI5C8ajKA2ieHw5Hkb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J0wnyN0CAAAkBgAADgAAAAAAAAABACAAAAAfAQAAZHJzL2Uyb0RvYy54bWxQSwUG&#10;AAAAAAYABgBZAQAAbgYAAAAA&#10;">
              <v:fill on="f" focussize="0,0"/>
              <v:stroke on="f" weight="0.5pt"/>
              <v:imagedata o:title=""/>
              <o:lock v:ext="edit" aspectratio="f"/>
              <v:textbox inset="0mm,0mm,0mm,0mm" style="mso-fit-shape-to-text:t;">
                <w:txbxContent>
                  <w:p w14:paraId="7857876D">
                    <w:pPr>
                      <w:pStyle w:val="10"/>
                    </w:pPr>
                    <w:r>
                      <w:tab/>
                    </w:r>
                    <w:r>
                      <w:t xml:space="preserve">- </w:t>
                    </w:r>
                    <w:r>
                      <w:fldChar w:fldCharType="begin"/>
                    </w:r>
                    <w:r>
                      <w:instrText xml:space="preserve"> PAGE </w:instrText>
                    </w:r>
                    <w:r>
                      <w:fldChar w:fldCharType="separate"/>
                    </w:r>
                    <w:r>
                      <w:t>54</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02A9">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02A8">
    <w:pPr>
      <w:ind w:firstLine="59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02B3">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0CA6EC"/>
    <w:multiLevelType w:val="singleLevel"/>
    <w:tmpl w:val="BE0CA6EC"/>
    <w:lvl w:ilvl="0" w:tentative="0">
      <w:start w:val="1"/>
      <w:numFmt w:val="decimal"/>
      <w:suff w:val="nothing"/>
      <w:lvlText w:val="%1）"/>
      <w:lvlJc w:val="left"/>
    </w:lvl>
  </w:abstractNum>
  <w:abstractNum w:abstractNumId="1">
    <w:nsid w:val="524C7FB3"/>
    <w:multiLevelType w:val="multilevel"/>
    <w:tmpl w:val="524C7FB3"/>
    <w:lvl w:ilvl="0" w:tentative="0">
      <w:start w:val="1"/>
      <w:numFmt w:val="decimal"/>
      <w:lvlText w:val="%1."/>
      <w:lvlJc w:val="left"/>
      <w:pPr>
        <w:tabs>
          <w:tab w:val="left" w:pos="600"/>
        </w:tabs>
        <w:ind w:left="60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B7B"/>
    <w:rsid w:val="000027B6"/>
    <w:rsid w:val="00004A80"/>
    <w:rsid w:val="0000541A"/>
    <w:rsid w:val="00005A69"/>
    <w:rsid w:val="00007384"/>
    <w:rsid w:val="000118AB"/>
    <w:rsid w:val="00012111"/>
    <w:rsid w:val="000138F5"/>
    <w:rsid w:val="0001590A"/>
    <w:rsid w:val="00020EC2"/>
    <w:rsid w:val="000220B9"/>
    <w:rsid w:val="00022FDE"/>
    <w:rsid w:val="000247CD"/>
    <w:rsid w:val="000259BD"/>
    <w:rsid w:val="000316B6"/>
    <w:rsid w:val="000322C8"/>
    <w:rsid w:val="0003273B"/>
    <w:rsid w:val="00035F7A"/>
    <w:rsid w:val="00037DFC"/>
    <w:rsid w:val="000404FB"/>
    <w:rsid w:val="000407F8"/>
    <w:rsid w:val="000413CB"/>
    <w:rsid w:val="00041482"/>
    <w:rsid w:val="000436E7"/>
    <w:rsid w:val="00044892"/>
    <w:rsid w:val="000458B3"/>
    <w:rsid w:val="00047337"/>
    <w:rsid w:val="00047342"/>
    <w:rsid w:val="00051FE7"/>
    <w:rsid w:val="0005390C"/>
    <w:rsid w:val="00054663"/>
    <w:rsid w:val="000547EE"/>
    <w:rsid w:val="00054855"/>
    <w:rsid w:val="000551DA"/>
    <w:rsid w:val="000578E3"/>
    <w:rsid w:val="00060CFA"/>
    <w:rsid w:val="00061A17"/>
    <w:rsid w:val="00062962"/>
    <w:rsid w:val="00062FCA"/>
    <w:rsid w:val="00065B60"/>
    <w:rsid w:val="00065CB8"/>
    <w:rsid w:val="0007060A"/>
    <w:rsid w:val="00071960"/>
    <w:rsid w:val="0007296A"/>
    <w:rsid w:val="00074E8A"/>
    <w:rsid w:val="00074FF3"/>
    <w:rsid w:val="000753A2"/>
    <w:rsid w:val="00075F73"/>
    <w:rsid w:val="000763D3"/>
    <w:rsid w:val="00076A55"/>
    <w:rsid w:val="00076B2C"/>
    <w:rsid w:val="00077511"/>
    <w:rsid w:val="0008133D"/>
    <w:rsid w:val="000817B9"/>
    <w:rsid w:val="00083953"/>
    <w:rsid w:val="00083A4A"/>
    <w:rsid w:val="00083BF9"/>
    <w:rsid w:val="000846B1"/>
    <w:rsid w:val="00087496"/>
    <w:rsid w:val="00090921"/>
    <w:rsid w:val="00091B12"/>
    <w:rsid w:val="00093A02"/>
    <w:rsid w:val="00097567"/>
    <w:rsid w:val="0009772A"/>
    <w:rsid w:val="00097A8B"/>
    <w:rsid w:val="000A07C5"/>
    <w:rsid w:val="000A0A0F"/>
    <w:rsid w:val="000A2C3F"/>
    <w:rsid w:val="000A3B87"/>
    <w:rsid w:val="000A665A"/>
    <w:rsid w:val="000A747E"/>
    <w:rsid w:val="000A76F1"/>
    <w:rsid w:val="000B03A3"/>
    <w:rsid w:val="000B16F6"/>
    <w:rsid w:val="000B1BAC"/>
    <w:rsid w:val="000B2F20"/>
    <w:rsid w:val="000B3F3F"/>
    <w:rsid w:val="000B4864"/>
    <w:rsid w:val="000B5157"/>
    <w:rsid w:val="000B52F7"/>
    <w:rsid w:val="000B58DB"/>
    <w:rsid w:val="000B62D2"/>
    <w:rsid w:val="000B76CC"/>
    <w:rsid w:val="000B78BE"/>
    <w:rsid w:val="000C0636"/>
    <w:rsid w:val="000C11EE"/>
    <w:rsid w:val="000C18D3"/>
    <w:rsid w:val="000C22B6"/>
    <w:rsid w:val="000C2A25"/>
    <w:rsid w:val="000C4DB2"/>
    <w:rsid w:val="000C5927"/>
    <w:rsid w:val="000C5FA8"/>
    <w:rsid w:val="000C607A"/>
    <w:rsid w:val="000C6DDD"/>
    <w:rsid w:val="000D1F7B"/>
    <w:rsid w:val="000D39E0"/>
    <w:rsid w:val="000D405F"/>
    <w:rsid w:val="000D65CD"/>
    <w:rsid w:val="000E3A20"/>
    <w:rsid w:val="000E3BCA"/>
    <w:rsid w:val="000E625B"/>
    <w:rsid w:val="000E6A68"/>
    <w:rsid w:val="000F07DC"/>
    <w:rsid w:val="000F0BE6"/>
    <w:rsid w:val="000F1041"/>
    <w:rsid w:val="000F2DCB"/>
    <w:rsid w:val="000F2E3C"/>
    <w:rsid w:val="000F3056"/>
    <w:rsid w:val="000F3CE0"/>
    <w:rsid w:val="000F404D"/>
    <w:rsid w:val="000F538E"/>
    <w:rsid w:val="000F5E48"/>
    <w:rsid w:val="000F5FA2"/>
    <w:rsid w:val="000F7FA3"/>
    <w:rsid w:val="00102212"/>
    <w:rsid w:val="001038DE"/>
    <w:rsid w:val="0010490B"/>
    <w:rsid w:val="00104E97"/>
    <w:rsid w:val="0010527E"/>
    <w:rsid w:val="00107055"/>
    <w:rsid w:val="00107C87"/>
    <w:rsid w:val="00111502"/>
    <w:rsid w:val="0011178B"/>
    <w:rsid w:val="00113145"/>
    <w:rsid w:val="001145CF"/>
    <w:rsid w:val="0011463A"/>
    <w:rsid w:val="00115172"/>
    <w:rsid w:val="00115831"/>
    <w:rsid w:val="00115A57"/>
    <w:rsid w:val="001166B5"/>
    <w:rsid w:val="00116D5A"/>
    <w:rsid w:val="001170E2"/>
    <w:rsid w:val="001173C0"/>
    <w:rsid w:val="0011796D"/>
    <w:rsid w:val="00122665"/>
    <w:rsid w:val="001228B3"/>
    <w:rsid w:val="0012365F"/>
    <w:rsid w:val="001236F1"/>
    <w:rsid w:val="001256BB"/>
    <w:rsid w:val="00125954"/>
    <w:rsid w:val="0012691E"/>
    <w:rsid w:val="001272D3"/>
    <w:rsid w:val="0013197C"/>
    <w:rsid w:val="001321D1"/>
    <w:rsid w:val="00133EA9"/>
    <w:rsid w:val="001357D5"/>
    <w:rsid w:val="001367C9"/>
    <w:rsid w:val="00136E2A"/>
    <w:rsid w:val="001374D1"/>
    <w:rsid w:val="00140721"/>
    <w:rsid w:val="001418A8"/>
    <w:rsid w:val="001421EF"/>
    <w:rsid w:val="00142239"/>
    <w:rsid w:val="00142AC1"/>
    <w:rsid w:val="0014351D"/>
    <w:rsid w:val="00144F57"/>
    <w:rsid w:val="00151E79"/>
    <w:rsid w:val="00154643"/>
    <w:rsid w:val="00155B18"/>
    <w:rsid w:val="00155E4F"/>
    <w:rsid w:val="00156DCF"/>
    <w:rsid w:val="00156FCA"/>
    <w:rsid w:val="001577ED"/>
    <w:rsid w:val="00157F7B"/>
    <w:rsid w:val="0016198D"/>
    <w:rsid w:val="001629DF"/>
    <w:rsid w:val="00163155"/>
    <w:rsid w:val="0016373F"/>
    <w:rsid w:val="001655E6"/>
    <w:rsid w:val="00165E32"/>
    <w:rsid w:val="001662DF"/>
    <w:rsid w:val="0017002F"/>
    <w:rsid w:val="00170258"/>
    <w:rsid w:val="0017247F"/>
    <w:rsid w:val="001726E6"/>
    <w:rsid w:val="00174280"/>
    <w:rsid w:val="00174292"/>
    <w:rsid w:val="00174EFF"/>
    <w:rsid w:val="001757F9"/>
    <w:rsid w:val="00175FDF"/>
    <w:rsid w:val="00177971"/>
    <w:rsid w:val="00177C56"/>
    <w:rsid w:val="0018099E"/>
    <w:rsid w:val="001812A8"/>
    <w:rsid w:val="0018273C"/>
    <w:rsid w:val="00182823"/>
    <w:rsid w:val="00182A56"/>
    <w:rsid w:val="00182D13"/>
    <w:rsid w:val="0018331A"/>
    <w:rsid w:val="00185736"/>
    <w:rsid w:val="00187343"/>
    <w:rsid w:val="00192AFF"/>
    <w:rsid w:val="001937C9"/>
    <w:rsid w:val="001976D9"/>
    <w:rsid w:val="001977FD"/>
    <w:rsid w:val="001A4281"/>
    <w:rsid w:val="001A506D"/>
    <w:rsid w:val="001A5613"/>
    <w:rsid w:val="001A7351"/>
    <w:rsid w:val="001B052D"/>
    <w:rsid w:val="001B0935"/>
    <w:rsid w:val="001B33A8"/>
    <w:rsid w:val="001B42BA"/>
    <w:rsid w:val="001C1A79"/>
    <w:rsid w:val="001C2428"/>
    <w:rsid w:val="001C2A41"/>
    <w:rsid w:val="001C338D"/>
    <w:rsid w:val="001C4708"/>
    <w:rsid w:val="001C7D8D"/>
    <w:rsid w:val="001D00C3"/>
    <w:rsid w:val="001D084A"/>
    <w:rsid w:val="001D323E"/>
    <w:rsid w:val="001D4043"/>
    <w:rsid w:val="001E09DA"/>
    <w:rsid w:val="001E0D7D"/>
    <w:rsid w:val="001E1200"/>
    <w:rsid w:val="001E1D95"/>
    <w:rsid w:val="001E58D0"/>
    <w:rsid w:val="001E5B8A"/>
    <w:rsid w:val="001E5F83"/>
    <w:rsid w:val="001E68D4"/>
    <w:rsid w:val="001F2504"/>
    <w:rsid w:val="001F486E"/>
    <w:rsid w:val="001F508A"/>
    <w:rsid w:val="001F58E2"/>
    <w:rsid w:val="001F73B4"/>
    <w:rsid w:val="001F74CE"/>
    <w:rsid w:val="00201F7A"/>
    <w:rsid w:val="0020393B"/>
    <w:rsid w:val="0021005E"/>
    <w:rsid w:val="00216531"/>
    <w:rsid w:val="0021797A"/>
    <w:rsid w:val="0022008E"/>
    <w:rsid w:val="002239E7"/>
    <w:rsid w:val="00224C72"/>
    <w:rsid w:val="00225E39"/>
    <w:rsid w:val="002260E9"/>
    <w:rsid w:val="002263BA"/>
    <w:rsid w:val="002263C2"/>
    <w:rsid w:val="002264A8"/>
    <w:rsid w:val="00231098"/>
    <w:rsid w:val="00236B34"/>
    <w:rsid w:val="00237C1A"/>
    <w:rsid w:val="00240674"/>
    <w:rsid w:val="00240E12"/>
    <w:rsid w:val="00245914"/>
    <w:rsid w:val="00245F97"/>
    <w:rsid w:val="00246878"/>
    <w:rsid w:val="00246ABF"/>
    <w:rsid w:val="002476E5"/>
    <w:rsid w:val="002500D5"/>
    <w:rsid w:val="0025168C"/>
    <w:rsid w:val="002524EF"/>
    <w:rsid w:val="002535A8"/>
    <w:rsid w:val="0025514E"/>
    <w:rsid w:val="00256FEF"/>
    <w:rsid w:val="0025759E"/>
    <w:rsid w:val="00261362"/>
    <w:rsid w:val="0026142A"/>
    <w:rsid w:val="00264461"/>
    <w:rsid w:val="002656F7"/>
    <w:rsid w:val="00271533"/>
    <w:rsid w:val="00271C8A"/>
    <w:rsid w:val="00274F96"/>
    <w:rsid w:val="002754AF"/>
    <w:rsid w:val="002814C4"/>
    <w:rsid w:val="0028161F"/>
    <w:rsid w:val="00283941"/>
    <w:rsid w:val="002839A4"/>
    <w:rsid w:val="00285BB2"/>
    <w:rsid w:val="00291EF4"/>
    <w:rsid w:val="002921F7"/>
    <w:rsid w:val="002926B8"/>
    <w:rsid w:val="00293BD7"/>
    <w:rsid w:val="00294AF2"/>
    <w:rsid w:val="00297F90"/>
    <w:rsid w:val="002A1E38"/>
    <w:rsid w:val="002A2E23"/>
    <w:rsid w:val="002B3246"/>
    <w:rsid w:val="002B47E6"/>
    <w:rsid w:val="002B4894"/>
    <w:rsid w:val="002B5B60"/>
    <w:rsid w:val="002C0312"/>
    <w:rsid w:val="002C0B00"/>
    <w:rsid w:val="002C1331"/>
    <w:rsid w:val="002C1BB9"/>
    <w:rsid w:val="002C31D0"/>
    <w:rsid w:val="002C58E7"/>
    <w:rsid w:val="002D3B3E"/>
    <w:rsid w:val="002D3EFF"/>
    <w:rsid w:val="002D554F"/>
    <w:rsid w:val="002D59B4"/>
    <w:rsid w:val="002D5BF1"/>
    <w:rsid w:val="002D6A55"/>
    <w:rsid w:val="002D6FB1"/>
    <w:rsid w:val="002E0B6E"/>
    <w:rsid w:val="002E268D"/>
    <w:rsid w:val="002E3AD7"/>
    <w:rsid w:val="002E4686"/>
    <w:rsid w:val="002E53D6"/>
    <w:rsid w:val="002E712F"/>
    <w:rsid w:val="002E79BB"/>
    <w:rsid w:val="002F0877"/>
    <w:rsid w:val="002F16FD"/>
    <w:rsid w:val="002F415D"/>
    <w:rsid w:val="002F52D0"/>
    <w:rsid w:val="002F5563"/>
    <w:rsid w:val="002F613E"/>
    <w:rsid w:val="002F7997"/>
    <w:rsid w:val="00300D2D"/>
    <w:rsid w:val="0030155E"/>
    <w:rsid w:val="00301E51"/>
    <w:rsid w:val="003021FF"/>
    <w:rsid w:val="003049DE"/>
    <w:rsid w:val="00304C89"/>
    <w:rsid w:val="00305CE7"/>
    <w:rsid w:val="00305D96"/>
    <w:rsid w:val="0030634C"/>
    <w:rsid w:val="003078B1"/>
    <w:rsid w:val="00307D24"/>
    <w:rsid w:val="00307E54"/>
    <w:rsid w:val="00310F56"/>
    <w:rsid w:val="00311497"/>
    <w:rsid w:val="00312AF9"/>
    <w:rsid w:val="00312C32"/>
    <w:rsid w:val="00314379"/>
    <w:rsid w:val="003157CF"/>
    <w:rsid w:val="00315A69"/>
    <w:rsid w:val="00316049"/>
    <w:rsid w:val="00316AF1"/>
    <w:rsid w:val="003178A8"/>
    <w:rsid w:val="00320908"/>
    <w:rsid w:val="00324B02"/>
    <w:rsid w:val="00325CE9"/>
    <w:rsid w:val="003265CA"/>
    <w:rsid w:val="003269AC"/>
    <w:rsid w:val="003272BC"/>
    <w:rsid w:val="00327829"/>
    <w:rsid w:val="003309D6"/>
    <w:rsid w:val="00330DF9"/>
    <w:rsid w:val="00331711"/>
    <w:rsid w:val="003332A4"/>
    <w:rsid w:val="00333EB8"/>
    <w:rsid w:val="00334DC8"/>
    <w:rsid w:val="00334FC1"/>
    <w:rsid w:val="00335EDD"/>
    <w:rsid w:val="003362D2"/>
    <w:rsid w:val="00337C04"/>
    <w:rsid w:val="0034016C"/>
    <w:rsid w:val="00340700"/>
    <w:rsid w:val="0034088C"/>
    <w:rsid w:val="0034183D"/>
    <w:rsid w:val="00344625"/>
    <w:rsid w:val="00344D86"/>
    <w:rsid w:val="003458CD"/>
    <w:rsid w:val="00345C1B"/>
    <w:rsid w:val="00345DB8"/>
    <w:rsid w:val="00347F0A"/>
    <w:rsid w:val="00351357"/>
    <w:rsid w:val="00351B4A"/>
    <w:rsid w:val="00351B80"/>
    <w:rsid w:val="00352FBB"/>
    <w:rsid w:val="00353D02"/>
    <w:rsid w:val="003540B3"/>
    <w:rsid w:val="0035494D"/>
    <w:rsid w:val="0035494F"/>
    <w:rsid w:val="00354A7F"/>
    <w:rsid w:val="003559E5"/>
    <w:rsid w:val="00355E9A"/>
    <w:rsid w:val="00362289"/>
    <w:rsid w:val="0036371D"/>
    <w:rsid w:val="00363CD2"/>
    <w:rsid w:val="00364922"/>
    <w:rsid w:val="003659E1"/>
    <w:rsid w:val="003669ED"/>
    <w:rsid w:val="00371000"/>
    <w:rsid w:val="00371195"/>
    <w:rsid w:val="003715B7"/>
    <w:rsid w:val="00371639"/>
    <w:rsid w:val="00371B61"/>
    <w:rsid w:val="00373E97"/>
    <w:rsid w:val="003743A6"/>
    <w:rsid w:val="00375365"/>
    <w:rsid w:val="00375761"/>
    <w:rsid w:val="00376791"/>
    <w:rsid w:val="00380923"/>
    <w:rsid w:val="00380CC7"/>
    <w:rsid w:val="0038231C"/>
    <w:rsid w:val="0038394D"/>
    <w:rsid w:val="003915B2"/>
    <w:rsid w:val="003941A4"/>
    <w:rsid w:val="00395E9C"/>
    <w:rsid w:val="003963E3"/>
    <w:rsid w:val="00397BF6"/>
    <w:rsid w:val="003A2550"/>
    <w:rsid w:val="003A2A24"/>
    <w:rsid w:val="003A3932"/>
    <w:rsid w:val="003A3EEE"/>
    <w:rsid w:val="003A6114"/>
    <w:rsid w:val="003A6ADA"/>
    <w:rsid w:val="003A6BB7"/>
    <w:rsid w:val="003B0CA3"/>
    <w:rsid w:val="003B0EB4"/>
    <w:rsid w:val="003B0FC2"/>
    <w:rsid w:val="003B2BEF"/>
    <w:rsid w:val="003B4640"/>
    <w:rsid w:val="003B4B8A"/>
    <w:rsid w:val="003B51D0"/>
    <w:rsid w:val="003C039C"/>
    <w:rsid w:val="003C0794"/>
    <w:rsid w:val="003C3591"/>
    <w:rsid w:val="003C6340"/>
    <w:rsid w:val="003C7113"/>
    <w:rsid w:val="003D396C"/>
    <w:rsid w:val="003D397E"/>
    <w:rsid w:val="003D3BF0"/>
    <w:rsid w:val="003D44EB"/>
    <w:rsid w:val="003D4938"/>
    <w:rsid w:val="003D5BB2"/>
    <w:rsid w:val="003E17B2"/>
    <w:rsid w:val="003E24D7"/>
    <w:rsid w:val="003E6B48"/>
    <w:rsid w:val="003E7E60"/>
    <w:rsid w:val="003F09C9"/>
    <w:rsid w:val="003F0E2A"/>
    <w:rsid w:val="003F120B"/>
    <w:rsid w:val="003F1439"/>
    <w:rsid w:val="003F2136"/>
    <w:rsid w:val="003F4269"/>
    <w:rsid w:val="003F49C6"/>
    <w:rsid w:val="00400439"/>
    <w:rsid w:val="00401426"/>
    <w:rsid w:val="004016D2"/>
    <w:rsid w:val="004039DC"/>
    <w:rsid w:val="0040555D"/>
    <w:rsid w:val="00405BFC"/>
    <w:rsid w:val="004066FA"/>
    <w:rsid w:val="004101AB"/>
    <w:rsid w:val="0041037B"/>
    <w:rsid w:val="00410A89"/>
    <w:rsid w:val="004114B1"/>
    <w:rsid w:val="00411F24"/>
    <w:rsid w:val="00412271"/>
    <w:rsid w:val="00412E33"/>
    <w:rsid w:val="00414B92"/>
    <w:rsid w:val="00415C77"/>
    <w:rsid w:val="00420775"/>
    <w:rsid w:val="00420E39"/>
    <w:rsid w:val="004249CF"/>
    <w:rsid w:val="00424F77"/>
    <w:rsid w:val="00426064"/>
    <w:rsid w:val="0043311B"/>
    <w:rsid w:val="004355B3"/>
    <w:rsid w:val="00435D82"/>
    <w:rsid w:val="004370A7"/>
    <w:rsid w:val="00437901"/>
    <w:rsid w:val="00437BF8"/>
    <w:rsid w:val="00440544"/>
    <w:rsid w:val="00440632"/>
    <w:rsid w:val="00441FD7"/>
    <w:rsid w:val="004420C8"/>
    <w:rsid w:val="00442301"/>
    <w:rsid w:val="00442F15"/>
    <w:rsid w:val="0044365C"/>
    <w:rsid w:val="00443B9B"/>
    <w:rsid w:val="00444560"/>
    <w:rsid w:val="00446672"/>
    <w:rsid w:val="004472C2"/>
    <w:rsid w:val="004512E9"/>
    <w:rsid w:val="00451791"/>
    <w:rsid w:val="004549E9"/>
    <w:rsid w:val="00455928"/>
    <w:rsid w:val="00455BCC"/>
    <w:rsid w:val="00457FAF"/>
    <w:rsid w:val="004625BD"/>
    <w:rsid w:val="00463BBC"/>
    <w:rsid w:val="00464DF9"/>
    <w:rsid w:val="004665B0"/>
    <w:rsid w:val="00470C39"/>
    <w:rsid w:val="0047224E"/>
    <w:rsid w:val="00472487"/>
    <w:rsid w:val="00472B66"/>
    <w:rsid w:val="00472C6D"/>
    <w:rsid w:val="00474D01"/>
    <w:rsid w:val="0047672B"/>
    <w:rsid w:val="0048014B"/>
    <w:rsid w:val="00480A43"/>
    <w:rsid w:val="00483B57"/>
    <w:rsid w:val="0048412E"/>
    <w:rsid w:val="004853E6"/>
    <w:rsid w:val="004858FC"/>
    <w:rsid w:val="0048783D"/>
    <w:rsid w:val="004913BF"/>
    <w:rsid w:val="0049180B"/>
    <w:rsid w:val="004920EE"/>
    <w:rsid w:val="00492D73"/>
    <w:rsid w:val="004935A4"/>
    <w:rsid w:val="00494635"/>
    <w:rsid w:val="00494FFB"/>
    <w:rsid w:val="00495DB5"/>
    <w:rsid w:val="00496E09"/>
    <w:rsid w:val="004A1089"/>
    <w:rsid w:val="004A1403"/>
    <w:rsid w:val="004A37CD"/>
    <w:rsid w:val="004A410B"/>
    <w:rsid w:val="004A5168"/>
    <w:rsid w:val="004B4EB2"/>
    <w:rsid w:val="004B60AC"/>
    <w:rsid w:val="004C04AD"/>
    <w:rsid w:val="004C08E1"/>
    <w:rsid w:val="004C1942"/>
    <w:rsid w:val="004C19CB"/>
    <w:rsid w:val="004C1DD4"/>
    <w:rsid w:val="004C3302"/>
    <w:rsid w:val="004C4088"/>
    <w:rsid w:val="004C492C"/>
    <w:rsid w:val="004C5D84"/>
    <w:rsid w:val="004C5F24"/>
    <w:rsid w:val="004C67F2"/>
    <w:rsid w:val="004D09F5"/>
    <w:rsid w:val="004D25F9"/>
    <w:rsid w:val="004D7AF7"/>
    <w:rsid w:val="004E1A7D"/>
    <w:rsid w:val="004E1B35"/>
    <w:rsid w:val="004E4478"/>
    <w:rsid w:val="004E6656"/>
    <w:rsid w:val="004E695E"/>
    <w:rsid w:val="004E77EC"/>
    <w:rsid w:val="004F16E1"/>
    <w:rsid w:val="004F1DB8"/>
    <w:rsid w:val="004F361C"/>
    <w:rsid w:val="004F5DC0"/>
    <w:rsid w:val="004F5F5C"/>
    <w:rsid w:val="004F631F"/>
    <w:rsid w:val="005001DA"/>
    <w:rsid w:val="00500900"/>
    <w:rsid w:val="0050092D"/>
    <w:rsid w:val="00501B6A"/>
    <w:rsid w:val="00502D14"/>
    <w:rsid w:val="00503591"/>
    <w:rsid w:val="0050482A"/>
    <w:rsid w:val="00507A8F"/>
    <w:rsid w:val="00510C84"/>
    <w:rsid w:val="005114E5"/>
    <w:rsid w:val="00511EE3"/>
    <w:rsid w:val="00512ABD"/>
    <w:rsid w:val="00513EAD"/>
    <w:rsid w:val="00515C5E"/>
    <w:rsid w:val="00517252"/>
    <w:rsid w:val="00517B7D"/>
    <w:rsid w:val="00520E3D"/>
    <w:rsid w:val="00524E22"/>
    <w:rsid w:val="005270E7"/>
    <w:rsid w:val="00527C16"/>
    <w:rsid w:val="00527D0C"/>
    <w:rsid w:val="005300DD"/>
    <w:rsid w:val="005307C0"/>
    <w:rsid w:val="00531317"/>
    <w:rsid w:val="0053170B"/>
    <w:rsid w:val="00531F8C"/>
    <w:rsid w:val="00533FA8"/>
    <w:rsid w:val="00534600"/>
    <w:rsid w:val="005362FE"/>
    <w:rsid w:val="005368A5"/>
    <w:rsid w:val="00537C28"/>
    <w:rsid w:val="005419F3"/>
    <w:rsid w:val="00543873"/>
    <w:rsid w:val="0054505E"/>
    <w:rsid w:val="005458CA"/>
    <w:rsid w:val="00546242"/>
    <w:rsid w:val="0054759C"/>
    <w:rsid w:val="0055291D"/>
    <w:rsid w:val="00553881"/>
    <w:rsid w:val="00553900"/>
    <w:rsid w:val="005545D3"/>
    <w:rsid w:val="00555D80"/>
    <w:rsid w:val="005560BA"/>
    <w:rsid w:val="005609E5"/>
    <w:rsid w:val="0056231E"/>
    <w:rsid w:val="00563743"/>
    <w:rsid w:val="005640B5"/>
    <w:rsid w:val="005700C1"/>
    <w:rsid w:val="00572FCD"/>
    <w:rsid w:val="00573156"/>
    <w:rsid w:val="00573244"/>
    <w:rsid w:val="0057488E"/>
    <w:rsid w:val="00574EEF"/>
    <w:rsid w:val="00577029"/>
    <w:rsid w:val="0057754D"/>
    <w:rsid w:val="00577DC1"/>
    <w:rsid w:val="005802F5"/>
    <w:rsid w:val="00581DD1"/>
    <w:rsid w:val="00582A73"/>
    <w:rsid w:val="0058488A"/>
    <w:rsid w:val="00584B7F"/>
    <w:rsid w:val="00584C73"/>
    <w:rsid w:val="00585978"/>
    <w:rsid w:val="005862DE"/>
    <w:rsid w:val="00586934"/>
    <w:rsid w:val="0058703F"/>
    <w:rsid w:val="00590B2B"/>
    <w:rsid w:val="0059296B"/>
    <w:rsid w:val="00593F57"/>
    <w:rsid w:val="00594164"/>
    <w:rsid w:val="005948A7"/>
    <w:rsid w:val="00594AE2"/>
    <w:rsid w:val="00594E42"/>
    <w:rsid w:val="005A2C5A"/>
    <w:rsid w:val="005A303A"/>
    <w:rsid w:val="005A44BC"/>
    <w:rsid w:val="005A4BB2"/>
    <w:rsid w:val="005A643E"/>
    <w:rsid w:val="005B064E"/>
    <w:rsid w:val="005B1229"/>
    <w:rsid w:val="005B203A"/>
    <w:rsid w:val="005B20C1"/>
    <w:rsid w:val="005B31ED"/>
    <w:rsid w:val="005B3236"/>
    <w:rsid w:val="005B35F2"/>
    <w:rsid w:val="005B3A19"/>
    <w:rsid w:val="005B541C"/>
    <w:rsid w:val="005B7900"/>
    <w:rsid w:val="005B7F74"/>
    <w:rsid w:val="005C1376"/>
    <w:rsid w:val="005C32F8"/>
    <w:rsid w:val="005C43A3"/>
    <w:rsid w:val="005C4878"/>
    <w:rsid w:val="005C4D83"/>
    <w:rsid w:val="005C662B"/>
    <w:rsid w:val="005C6DD5"/>
    <w:rsid w:val="005C7655"/>
    <w:rsid w:val="005D0D03"/>
    <w:rsid w:val="005D5879"/>
    <w:rsid w:val="005D5FFA"/>
    <w:rsid w:val="005D730E"/>
    <w:rsid w:val="005D7CFF"/>
    <w:rsid w:val="005E0E8E"/>
    <w:rsid w:val="005E1368"/>
    <w:rsid w:val="005E3CC8"/>
    <w:rsid w:val="005E4315"/>
    <w:rsid w:val="005E44F1"/>
    <w:rsid w:val="005E4ACF"/>
    <w:rsid w:val="005E50EA"/>
    <w:rsid w:val="005E6BB4"/>
    <w:rsid w:val="005E7322"/>
    <w:rsid w:val="005E7636"/>
    <w:rsid w:val="005F2C9F"/>
    <w:rsid w:val="005F2F68"/>
    <w:rsid w:val="005F3EB5"/>
    <w:rsid w:val="005F7B90"/>
    <w:rsid w:val="00600F8C"/>
    <w:rsid w:val="006010F0"/>
    <w:rsid w:val="00604B7B"/>
    <w:rsid w:val="00606855"/>
    <w:rsid w:val="00606FD1"/>
    <w:rsid w:val="00607756"/>
    <w:rsid w:val="00612709"/>
    <w:rsid w:val="00613224"/>
    <w:rsid w:val="0061359C"/>
    <w:rsid w:val="00614D3E"/>
    <w:rsid w:val="006172EE"/>
    <w:rsid w:val="00617EE9"/>
    <w:rsid w:val="00622EE7"/>
    <w:rsid w:val="0062476D"/>
    <w:rsid w:val="00626F16"/>
    <w:rsid w:val="006272AB"/>
    <w:rsid w:val="006319B6"/>
    <w:rsid w:val="00631D81"/>
    <w:rsid w:val="00631DCE"/>
    <w:rsid w:val="00633944"/>
    <w:rsid w:val="006340D0"/>
    <w:rsid w:val="00634646"/>
    <w:rsid w:val="006352AD"/>
    <w:rsid w:val="00635386"/>
    <w:rsid w:val="00640F5F"/>
    <w:rsid w:val="006415A4"/>
    <w:rsid w:val="00642E6C"/>
    <w:rsid w:val="00644259"/>
    <w:rsid w:val="00644C80"/>
    <w:rsid w:val="00644CFC"/>
    <w:rsid w:val="00644F71"/>
    <w:rsid w:val="00645DFC"/>
    <w:rsid w:val="0064603F"/>
    <w:rsid w:val="00646EB9"/>
    <w:rsid w:val="00647149"/>
    <w:rsid w:val="00647B8A"/>
    <w:rsid w:val="00653085"/>
    <w:rsid w:val="0065447E"/>
    <w:rsid w:val="006576D3"/>
    <w:rsid w:val="006614A4"/>
    <w:rsid w:val="00661B95"/>
    <w:rsid w:val="00661CF7"/>
    <w:rsid w:val="00663002"/>
    <w:rsid w:val="00663ECE"/>
    <w:rsid w:val="006654AC"/>
    <w:rsid w:val="00667B5B"/>
    <w:rsid w:val="00670248"/>
    <w:rsid w:val="00671F16"/>
    <w:rsid w:val="006728FF"/>
    <w:rsid w:val="00672C77"/>
    <w:rsid w:val="006730FE"/>
    <w:rsid w:val="00673251"/>
    <w:rsid w:val="006761AD"/>
    <w:rsid w:val="00676D94"/>
    <w:rsid w:val="006813A8"/>
    <w:rsid w:val="00681FA0"/>
    <w:rsid w:val="00685A75"/>
    <w:rsid w:val="00686239"/>
    <w:rsid w:val="00686BC8"/>
    <w:rsid w:val="00692389"/>
    <w:rsid w:val="00692EE8"/>
    <w:rsid w:val="00694BB4"/>
    <w:rsid w:val="00695571"/>
    <w:rsid w:val="006969E5"/>
    <w:rsid w:val="006A0847"/>
    <w:rsid w:val="006A2154"/>
    <w:rsid w:val="006A2AF9"/>
    <w:rsid w:val="006A73C4"/>
    <w:rsid w:val="006A73F2"/>
    <w:rsid w:val="006B2DEB"/>
    <w:rsid w:val="006B4A2B"/>
    <w:rsid w:val="006B6C60"/>
    <w:rsid w:val="006C0AF1"/>
    <w:rsid w:val="006C10CA"/>
    <w:rsid w:val="006C2A8C"/>
    <w:rsid w:val="006C59DF"/>
    <w:rsid w:val="006C6333"/>
    <w:rsid w:val="006C6ADB"/>
    <w:rsid w:val="006C7AA6"/>
    <w:rsid w:val="006E1A7C"/>
    <w:rsid w:val="006E2B81"/>
    <w:rsid w:val="006E2BBD"/>
    <w:rsid w:val="006E3B2A"/>
    <w:rsid w:val="006E4EFA"/>
    <w:rsid w:val="006E62D4"/>
    <w:rsid w:val="006E752C"/>
    <w:rsid w:val="006E79AD"/>
    <w:rsid w:val="006F1031"/>
    <w:rsid w:val="006F1BAF"/>
    <w:rsid w:val="006F2C17"/>
    <w:rsid w:val="006F455D"/>
    <w:rsid w:val="006F545A"/>
    <w:rsid w:val="006F561B"/>
    <w:rsid w:val="00702460"/>
    <w:rsid w:val="00702B46"/>
    <w:rsid w:val="00703122"/>
    <w:rsid w:val="007052AE"/>
    <w:rsid w:val="00706531"/>
    <w:rsid w:val="007145B1"/>
    <w:rsid w:val="007150F6"/>
    <w:rsid w:val="00715874"/>
    <w:rsid w:val="00715FA5"/>
    <w:rsid w:val="00717529"/>
    <w:rsid w:val="00717D62"/>
    <w:rsid w:val="00720822"/>
    <w:rsid w:val="00721607"/>
    <w:rsid w:val="007217AC"/>
    <w:rsid w:val="0072467C"/>
    <w:rsid w:val="007255CB"/>
    <w:rsid w:val="0072759D"/>
    <w:rsid w:val="007311F3"/>
    <w:rsid w:val="00731E8B"/>
    <w:rsid w:val="00733B26"/>
    <w:rsid w:val="00736609"/>
    <w:rsid w:val="00736E27"/>
    <w:rsid w:val="007407EA"/>
    <w:rsid w:val="00740D3F"/>
    <w:rsid w:val="00742E89"/>
    <w:rsid w:val="007447E5"/>
    <w:rsid w:val="00746EFC"/>
    <w:rsid w:val="0074715B"/>
    <w:rsid w:val="007475F9"/>
    <w:rsid w:val="00750073"/>
    <w:rsid w:val="007502FA"/>
    <w:rsid w:val="00751A90"/>
    <w:rsid w:val="00752999"/>
    <w:rsid w:val="00752A8E"/>
    <w:rsid w:val="00752C83"/>
    <w:rsid w:val="007548ED"/>
    <w:rsid w:val="00756BBE"/>
    <w:rsid w:val="00757A4D"/>
    <w:rsid w:val="007619DE"/>
    <w:rsid w:val="007635B7"/>
    <w:rsid w:val="007648F8"/>
    <w:rsid w:val="0076737B"/>
    <w:rsid w:val="00767981"/>
    <w:rsid w:val="00770256"/>
    <w:rsid w:val="0077090F"/>
    <w:rsid w:val="00772874"/>
    <w:rsid w:val="00773403"/>
    <w:rsid w:val="0077348A"/>
    <w:rsid w:val="007737E8"/>
    <w:rsid w:val="00775124"/>
    <w:rsid w:val="00783A0F"/>
    <w:rsid w:val="007843D3"/>
    <w:rsid w:val="00784E4E"/>
    <w:rsid w:val="00790A06"/>
    <w:rsid w:val="007912EF"/>
    <w:rsid w:val="007916C9"/>
    <w:rsid w:val="007921C7"/>
    <w:rsid w:val="007921F0"/>
    <w:rsid w:val="00793660"/>
    <w:rsid w:val="0079392A"/>
    <w:rsid w:val="00794F8B"/>
    <w:rsid w:val="00795286"/>
    <w:rsid w:val="00796C32"/>
    <w:rsid w:val="00796EA3"/>
    <w:rsid w:val="007A29C1"/>
    <w:rsid w:val="007A3915"/>
    <w:rsid w:val="007A46AE"/>
    <w:rsid w:val="007A48A7"/>
    <w:rsid w:val="007A6B2B"/>
    <w:rsid w:val="007A7022"/>
    <w:rsid w:val="007B04C0"/>
    <w:rsid w:val="007B10C1"/>
    <w:rsid w:val="007B10CA"/>
    <w:rsid w:val="007B134F"/>
    <w:rsid w:val="007B1426"/>
    <w:rsid w:val="007B2396"/>
    <w:rsid w:val="007B3AB7"/>
    <w:rsid w:val="007B5C9C"/>
    <w:rsid w:val="007B6D4D"/>
    <w:rsid w:val="007B7A77"/>
    <w:rsid w:val="007C1A16"/>
    <w:rsid w:val="007C1C77"/>
    <w:rsid w:val="007C2E2F"/>
    <w:rsid w:val="007C3F3E"/>
    <w:rsid w:val="007C464B"/>
    <w:rsid w:val="007C4767"/>
    <w:rsid w:val="007C51F2"/>
    <w:rsid w:val="007C56FF"/>
    <w:rsid w:val="007C726E"/>
    <w:rsid w:val="007D1C6C"/>
    <w:rsid w:val="007D2C89"/>
    <w:rsid w:val="007D2EAD"/>
    <w:rsid w:val="007D2FA6"/>
    <w:rsid w:val="007D51D2"/>
    <w:rsid w:val="007D6157"/>
    <w:rsid w:val="007D6DE0"/>
    <w:rsid w:val="007E028F"/>
    <w:rsid w:val="007E039A"/>
    <w:rsid w:val="007E0AE2"/>
    <w:rsid w:val="007E4898"/>
    <w:rsid w:val="007E4C28"/>
    <w:rsid w:val="007E50F1"/>
    <w:rsid w:val="007E615D"/>
    <w:rsid w:val="007E6A10"/>
    <w:rsid w:val="007E711E"/>
    <w:rsid w:val="007F127C"/>
    <w:rsid w:val="007F178E"/>
    <w:rsid w:val="007F1EB2"/>
    <w:rsid w:val="007F2F81"/>
    <w:rsid w:val="007F7701"/>
    <w:rsid w:val="008001C6"/>
    <w:rsid w:val="00800D83"/>
    <w:rsid w:val="00801EA6"/>
    <w:rsid w:val="008041B3"/>
    <w:rsid w:val="00806462"/>
    <w:rsid w:val="008078EC"/>
    <w:rsid w:val="00807A21"/>
    <w:rsid w:val="0081067C"/>
    <w:rsid w:val="00811F33"/>
    <w:rsid w:val="00811F44"/>
    <w:rsid w:val="00811FFD"/>
    <w:rsid w:val="00812F06"/>
    <w:rsid w:val="008165BF"/>
    <w:rsid w:val="0081662B"/>
    <w:rsid w:val="00816C79"/>
    <w:rsid w:val="00816ED0"/>
    <w:rsid w:val="00817BE7"/>
    <w:rsid w:val="00820492"/>
    <w:rsid w:val="00821816"/>
    <w:rsid w:val="00822012"/>
    <w:rsid w:val="00822696"/>
    <w:rsid w:val="00823C63"/>
    <w:rsid w:val="00824905"/>
    <w:rsid w:val="0082577A"/>
    <w:rsid w:val="00830CFF"/>
    <w:rsid w:val="00831B1C"/>
    <w:rsid w:val="00831DCC"/>
    <w:rsid w:val="00831EE0"/>
    <w:rsid w:val="00834801"/>
    <w:rsid w:val="008364A3"/>
    <w:rsid w:val="0084138D"/>
    <w:rsid w:val="00841424"/>
    <w:rsid w:val="00841AC0"/>
    <w:rsid w:val="00842EE8"/>
    <w:rsid w:val="00845329"/>
    <w:rsid w:val="008462EC"/>
    <w:rsid w:val="00846436"/>
    <w:rsid w:val="00850C93"/>
    <w:rsid w:val="008511A6"/>
    <w:rsid w:val="008521B3"/>
    <w:rsid w:val="00854FE9"/>
    <w:rsid w:val="00856B3D"/>
    <w:rsid w:val="00860497"/>
    <w:rsid w:val="008636A3"/>
    <w:rsid w:val="008652B5"/>
    <w:rsid w:val="0086685C"/>
    <w:rsid w:val="008707D0"/>
    <w:rsid w:val="008754FB"/>
    <w:rsid w:val="008762A4"/>
    <w:rsid w:val="0087766A"/>
    <w:rsid w:val="008805CF"/>
    <w:rsid w:val="008808B5"/>
    <w:rsid w:val="00880B82"/>
    <w:rsid w:val="008820F2"/>
    <w:rsid w:val="0088234E"/>
    <w:rsid w:val="008833F6"/>
    <w:rsid w:val="00884C61"/>
    <w:rsid w:val="00884E50"/>
    <w:rsid w:val="00887664"/>
    <w:rsid w:val="008877C7"/>
    <w:rsid w:val="00887D9C"/>
    <w:rsid w:val="0089128A"/>
    <w:rsid w:val="00891ACD"/>
    <w:rsid w:val="00892028"/>
    <w:rsid w:val="008922A6"/>
    <w:rsid w:val="0089279C"/>
    <w:rsid w:val="008931E1"/>
    <w:rsid w:val="00893280"/>
    <w:rsid w:val="0089400E"/>
    <w:rsid w:val="0089490F"/>
    <w:rsid w:val="00894D32"/>
    <w:rsid w:val="008953C0"/>
    <w:rsid w:val="008A0859"/>
    <w:rsid w:val="008A11F1"/>
    <w:rsid w:val="008A18E8"/>
    <w:rsid w:val="008A4C1C"/>
    <w:rsid w:val="008A6E40"/>
    <w:rsid w:val="008A74CD"/>
    <w:rsid w:val="008B06C5"/>
    <w:rsid w:val="008B1661"/>
    <w:rsid w:val="008B16D0"/>
    <w:rsid w:val="008B2663"/>
    <w:rsid w:val="008B44CD"/>
    <w:rsid w:val="008B55D6"/>
    <w:rsid w:val="008C15A6"/>
    <w:rsid w:val="008C1C05"/>
    <w:rsid w:val="008C79CC"/>
    <w:rsid w:val="008C7D79"/>
    <w:rsid w:val="008C7FF3"/>
    <w:rsid w:val="008D0E5A"/>
    <w:rsid w:val="008D167F"/>
    <w:rsid w:val="008D30E5"/>
    <w:rsid w:val="008D3539"/>
    <w:rsid w:val="008D359D"/>
    <w:rsid w:val="008D3DC8"/>
    <w:rsid w:val="008D6C18"/>
    <w:rsid w:val="008D711F"/>
    <w:rsid w:val="008D7832"/>
    <w:rsid w:val="008E05AC"/>
    <w:rsid w:val="008E085D"/>
    <w:rsid w:val="008E343B"/>
    <w:rsid w:val="008E4C9C"/>
    <w:rsid w:val="008E693B"/>
    <w:rsid w:val="008F0384"/>
    <w:rsid w:val="008F05D4"/>
    <w:rsid w:val="008F0EAC"/>
    <w:rsid w:val="008F0F77"/>
    <w:rsid w:val="008F1D47"/>
    <w:rsid w:val="008F4308"/>
    <w:rsid w:val="008F4F08"/>
    <w:rsid w:val="008F6F95"/>
    <w:rsid w:val="009005C9"/>
    <w:rsid w:val="00901E22"/>
    <w:rsid w:val="009044EA"/>
    <w:rsid w:val="009055FA"/>
    <w:rsid w:val="0091025C"/>
    <w:rsid w:val="00910E13"/>
    <w:rsid w:val="0091155D"/>
    <w:rsid w:val="00915A88"/>
    <w:rsid w:val="00915CE1"/>
    <w:rsid w:val="009217A0"/>
    <w:rsid w:val="009222F6"/>
    <w:rsid w:val="00924BC7"/>
    <w:rsid w:val="009258ED"/>
    <w:rsid w:val="00926E7A"/>
    <w:rsid w:val="0092757E"/>
    <w:rsid w:val="0093000D"/>
    <w:rsid w:val="00930658"/>
    <w:rsid w:val="0093099A"/>
    <w:rsid w:val="00930C0A"/>
    <w:rsid w:val="0093323C"/>
    <w:rsid w:val="009361BA"/>
    <w:rsid w:val="00936A7F"/>
    <w:rsid w:val="00937422"/>
    <w:rsid w:val="00937702"/>
    <w:rsid w:val="00937898"/>
    <w:rsid w:val="00937E1E"/>
    <w:rsid w:val="00940D86"/>
    <w:rsid w:val="00943A9F"/>
    <w:rsid w:val="00944A24"/>
    <w:rsid w:val="00946238"/>
    <w:rsid w:val="0094784B"/>
    <w:rsid w:val="00947860"/>
    <w:rsid w:val="009502D1"/>
    <w:rsid w:val="009506DC"/>
    <w:rsid w:val="00951982"/>
    <w:rsid w:val="009572ED"/>
    <w:rsid w:val="00957C5A"/>
    <w:rsid w:val="00957F1D"/>
    <w:rsid w:val="0096134B"/>
    <w:rsid w:val="00961E62"/>
    <w:rsid w:val="009636BC"/>
    <w:rsid w:val="00964E56"/>
    <w:rsid w:val="00966082"/>
    <w:rsid w:val="0096692C"/>
    <w:rsid w:val="00966FAE"/>
    <w:rsid w:val="009670AE"/>
    <w:rsid w:val="00971688"/>
    <w:rsid w:val="0097457C"/>
    <w:rsid w:val="0097498E"/>
    <w:rsid w:val="00975588"/>
    <w:rsid w:val="0097607F"/>
    <w:rsid w:val="009769D8"/>
    <w:rsid w:val="00976C4D"/>
    <w:rsid w:val="009814AB"/>
    <w:rsid w:val="0098293A"/>
    <w:rsid w:val="00990504"/>
    <w:rsid w:val="00992D7E"/>
    <w:rsid w:val="00994E78"/>
    <w:rsid w:val="00997CBF"/>
    <w:rsid w:val="009A0F4D"/>
    <w:rsid w:val="009A0F95"/>
    <w:rsid w:val="009A1D8C"/>
    <w:rsid w:val="009A2136"/>
    <w:rsid w:val="009A3E7C"/>
    <w:rsid w:val="009A4BC6"/>
    <w:rsid w:val="009A5037"/>
    <w:rsid w:val="009A5B4F"/>
    <w:rsid w:val="009A69C7"/>
    <w:rsid w:val="009A6F7D"/>
    <w:rsid w:val="009B0121"/>
    <w:rsid w:val="009B03E3"/>
    <w:rsid w:val="009B03EE"/>
    <w:rsid w:val="009B0DD3"/>
    <w:rsid w:val="009B1498"/>
    <w:rsid w:val="009B3423"/>
    <w:rsid w:val="009B4CEE"/>
    <w:rsid w:val="009B5DBA"/>
    <w:rsid w:val="009B62A5"/>
    <w:rsid w:val="009B709D"/>
    <w:rsid w:val="009B7BBD"/>
    <w:rsid w:val="009C0C18"/>
    <w:rsid w:val="009C1C75"/>
    <w:rsid w:val="009C30EA"/>
    <w:rsid w:val="009C62F0"/>
    <w:rsid w:val="009C631C"/>
    <w:rsid w:val="009D0723"/>
    <w:rsid w:val="009D0FE6"/>
    <w:rsid w:val="009D401F"/>
    <w:rsid w:val="009D6DFC"/>
    <w:rsid w:val="009D7186"/>
    <w:rsid w:val="009E0728"/>
    <w:rsid w:val="009E239A"/>
    <w:rsid w:val="009E316D"/>
    <w:rsid w:val="009E58F6"/>
    <w:rsid w:val="009E6DE4"/>
    <w:rsid w:val="009E6E5A"/>
    <w:rsid w:val="009E74CB"/>
    <w:rsid w:val="009E787D"/>
    <w:rsid w:val="009E78B6"/>
    <w:rsid w:val="009F0831"/>
    <w:rsid w:val="009F0C1E"/>
    <w:rsid w:val="009F1A37"/>
    <w:rsid w:val="009F1DB6"/>
    <w:rsid w:val="009F27CF"/>
    <w:rsid w:val="009F2995"/>
    <w:rsid w:val="009F3041"/>
    <w:rsid w:val="009F4193"/>
    <w:rsid w:val="009F4D8E"/>
    <w:rsid w:val="009F6BE6"/>
    <w:rsid w:val="00A00488"/>
    <w:rsid w:val="00A00610"/>
    <w:rsid w:val="00A022AA"/>
    <w:rsid w:val="00A02CE3"/>
    <w:rsid w:val="00A038E5"/>
    <w:rsid w:val="00A06291"/>
    <w:rsid w:val="00A07B8F"/>
    <w:rsid w:val="00A10468"/>
    <w:rsid w:val="00A12D4A"/>
    <w:rsid w:val="00A15547"/>
    <w:rsid w:val="00A2360C"/>
    <w:rsid w:val="00A2457D"/>
    <w:rsid w:val="00A25ECD"/>
    <w:rsid w:val="00A26871"/>
    <w:rsid w:val="00A26898"/>
    <w:rsid w:val="00A30812"/>
    <w:rsid w:val="00A308B5"/>
    <w:rsid w:val="00A30F76"/>
    <w:rsid w:val="00A322CD"/>
    <w:rsid w:val="00A336B6"/>
    <w:rsid w:val="00A358F5"/>
    <w:rsid w:val="00A3603A"/>
    <w:rsid w:val="00A36476"/>
    <w:rsid w:val="00A366CE"/>
    <w:rsid w:val="00A417DF"/>
    <w:rsid w:val="00A44465"/>
    <w:rsid w:val="00A46CBB"/>
    <w:rsid w:val="00A471E6"/>
    <w:rsid w:val="00A47931"/>
    <w:rsid w:val="00A47975"/>
    <w:rsid w:val="00A51696"/>
    <w:rsid w:val="00A55518"/>
    <w:rsid w:val="00A559E7"/>
    <w:rsid w:val="00A56BED"/>
    <w:rsid w:val="00A57000"/>
    <w:rsid w:val="00A5782E"/>
    <w:rsid w:val="00A604ED"/>
    <w:rsid w:val="00A617A5"/>
    <w:rsid w:val="00A61897"/>
    <w:rsid w:val="00A64501"/>
    <w:rsid w:val="00A65675"/>
    <w:rsid w:val="00A7035E"/>
    <w:rsid w:val="00A70435"/>
    <w:rsid w:val="00A71A21"/>
    <w:rsid w:val="00A7213A"/>
    <w:rsid w:val="00A75290"/>
    <w:rsid w:val="00A7541A"/>
    <w:rsid w:val="00A760F2"/>
    <w:rsid w:val="00A76E56"/>
    <w:rsid w:val="00A83908"/>
    <w:rsid w:val="00A84198"/>
    <w:rsid w:val="00A84988"/>
    <w:rsid w:val="00A84EC2"/>
    <w:rsid w:val="00A86F17"/>
    <w:rsid w:val="00A8735F"/>
    <w:rsid w:val="00A90BF6"/>
    <w:rsid w:val="00A90F61"/>
    <w:rsid w:val="00A91420"/>
    <w:rsid w:val="00A9196F"/>
    <w:rsid w:val="00A91A50"/>
    <w:rsid w:val="00A93694"/>
    <w:rsid w:val="00A939B6"/>
    <w:rsid w:val="00A947A6"/>
    <w:rsid w:val="00A95797"/>
    <w:rsid w:val="00A96529"/>
    <w:rsid w:val="00AA0C60"/>
    <w:rsid w:val="00AA2686"/>
    <w:rsid w:val="00AA31CB"/>
    <w:rsid w:val="00AA42D2"/>
    <w:rsid w:val="00AA475B"/>
    <w:rsid w:val="00AA594C"/>
    <w:rsid w:val="00AA60E6"/>
    <w:rsid w:val="00AB009C"/>
    <w:rsid w:val="00AB3EB0"/>
    <w:rsid w:val="00AB4BCD"/>
    <w:rsid w:val="00AB556F"/>
    <w:rsid w:val="00AC137D"/>
    <w:rsid w:val="00AC239B"/>
    <w:rsid w:val="00AC4B84"/>
    <w:rsid w:val="00AC4E7A"/>
    <w:rsid w:val="00AD0436"/>
    <w:rsid w:val="00AD107B"/>
    <w:rsid w:val="00AD1ADA"/>
    <w:rsid w:val="00AD2898"/>
    <w:rsid w:val="00AD2B09"/>
    <w:rsid w:val="00AD353A"/>
    <w:rsid w:val="00AD37D7"/>
    <w:rsid w:val="00AD5194"/>
    <w:rsid w:val="00AD7605"/>
    <w:rsid w:val="00AD7E8D"/>
    <w:rsid w:val="00AE147E"/>
    <w:rsid w:val="00AE2623"/>
    <w:rsid w:val="00AE3FE0"/>
    <w:rsid w:val="00AE5376"/>
    <w:rsid w:val="00AE5F01"/>
    <w:rsid w:val="00AE6930"/>
    <w:rsid w:val="00AF1203"/>
    <w:rsid w:val="00AF3F74"/>
    <w:rsid w:val="00AF50E4"/>
    <w:rsid w:val="00B054EF"/>
    <w:rsid w:val="00B06753"/>
    <w:rsid w:val="00B07583"/>
    <w:rsid w:val="00B07A8D"/>
    <w:rsid w:val="00B07AEE"/>
    <w:rsid w:val="00B102E1"/>
    <w:rsid w:val="00B11DA7"/>
    <w:rsid w:val="00B14280"/>
    <w:rsid w:val="00B16208"/>
    <w:rsid w:val="00B179C0"/>
    <w:rsid w:val="00B17C42"/>
    <w:rsid w:val="00B17FA1"/>
    <w:rsid w:val="00B2356D"/>
    <w:rsid w:val="00B25121"/>
    <w:rsid w:val="00B2650C"/>
    <w:rsid w:val="00B3022E"/>
    <w:rsid w:val="00B31546"/>
    <w:rsid w:val="00B35E71"/>
    <w:rsid w:val="00B37A23"/>
    <w:rsid w:val="00B4010D"/>
    <w:rsid w:val="00B40C0B"/>
    <w:rsid w:val="00B40C38"/>
    <w:rsid w:val="00B41DB0"/>
    <w:rsid w:val="00B44C4B"/>
    <w:rsid w:val="00B46998"/>
    <w:rsid w:val="00B514EA"/>
    <w:rsid w:val="00B52AD6"/>
    <w:rsid w:val="00B5318E"/>
    <w:rsid w:val="00B53830"/>
    <w:rsid w:val="00B54B66"/>
    <w:rsid w:val="00B54EC2"/>
    <w:rsid w:val="00B5534E"/>
    <w:rsid w:val="00B55BC9"/>
    <w:rsid w:val="00B57035"/>
    <w:rsid w:val="00B572A6"/>
    <w:rsid w:val="00B6013C"/>
    <w:rsid w:val="00B61B83"/>
    <w:rsid w:val="00B65A21"/>
    <w:rsid w:val="00B66F2A"/>
    <w:rsid w:val="00B7353D"/>
    <w:rsid w:val="00B75101"/>
    <w:rsid w:val="00B75264"/>
    <w:rsid w:val="00B752F2"/>
    <w:rsid w:val="00B7625B"/>
    <w:rsid w:val="00B76B44"/>
    <w:rsid w:val="00B80476"/>
    <w:rsid w:val="00B81290"/>
    <w:rsid w:val="00B813C4"/>
    <w:rsid w:val="00B8309A"/>
    <w:rsid w:val="00B8342F"/>
    <w:rsid w:val="00B8355E"/>
    <w:rsid w:val="00B842A6"/>
    <w:rsid w:val="00B84904"/>
    <w:rsid w:val="00B8491B"/>
    <w:rsid w:val="00B85E18"/>
    <w:rsid w:val="00B90CDA"/>
    <w:rsid w:val="00B937C8"/>
    <w:rsid w:val="00B94083"/>
    <w:rsid w:val="00B96B63"/>
    <w:rsid w:val="00B97CB1"/>
    <w:rsid w:val="00BA17F5"/>
    <w:rsid w:val="00BA1B31"/>
    <w:rsid w:val="00BA42A0"/>
    <w:rsid w:val="00BA4877"/>
    <w:rsid w:val="00BA4D80"/>
    <w:rsid w:val="00BA52ED"/>
    <w:rsid w:val="00BA578C"/>
    <w:rsid w:val="00BA6A90"/>
    <w:rsid w:val="00BA6BCC"/>
    <w:rsid w:val="00BA783C"/>
    <w:rsid w:val="00BB08AB"/>
    <w:rsid w:val="00BB2021"/>
    <w:rsid w:val="00BB2499"/>
    <w:rsid w:val="00BB3F79"/>
    <w:rsid w:val="00BB664C"/>
    <w:rsid w:val="00BB6E73"/>
    <w:rsid w:val="00BB7C2E"/>
    <w:rsid w:val="00BC1D40"/>
    <w:rsid w:val="00BC237C"/>
    <w:rsid w:val="00BC3525"/>
    <w:rsid w:val="00BC3FA0"/>
    <w:rsid w:val="00BC538B"/>
    <w:rsid w:val="00BC6CAE"/>
    <w:rsid w:val="00BD1173"/>
    <w:rsid w:val="00BD1735"/>
    <w:rsid w:val="00BD63D5"/>
    <w:rsid w:val="00BD6E8B"/>
    <w:rsid w:val="00BD79EE"/>
    <w:rsid w:val="00BE0E83"/>
    <w:rsid w:val="00BE2C21"/>
    <w:rsid w:val="00BE389E"/>
    <w:rsid w:val="00BE6ED2"/>
    <w:rsid w:val="00BF2076"/>
    <w:rsid w:val="00BF2E9A"/>
    <w:rsid w:val="00BF50D0"/>
    <w:rsid w:val="00BF7CD4"/>
    <w:rsid w:val="00C00C26"/>
    <w:rsid w:val="00C06C46"/>
    <w:rsid w:val="00C071C7"/>
    <w:rsid w:val="00C10726"/>
    <w:rsid w:val="00C115F9"/>
    <w:rsid w:val="00C125E1"/>
    <w:rsid w:val="00C13E41"/>
    <w:rsid w:val="00C14369"/>
    <w:rsid w:val="00C143D6"/>
    <w:rsid w:val="00C149DC"/>
    <w:rsid w:val="00C1617E"/>
    <w:rsid w:val="00C16B5C"/>
    <w:rsid w:val="00C17F68"/>
    <w:rsid w:val="00C20346"/>
    <w:rsid w:val="00C2292B"/>
    <w:rsid w:val="00C22CA5"/>
    <w:rsid w:val="00C2733F"/>
    <w:rsid w:val="00C27D54"/>
    <w:rsid w:val="00C30785"/>
    <w:rsid w:val="00C3164A"/>
    <w:rsid w:val="00C3275F"/>
    <w:rsid w:val="00C34C76"/>
    <w:rsid w:val="00C357E5"/>
    <w:rsid w:val="00C40440"/>
    <w:rsid w:val="00C415E1"/>
    <w:rsid w:val="00C428F9"/>
    <w:rsid w:val="00C439A7"/>
    <w:rsid w:val="00C4409E"/>
    <w:rsid w:val="00C447DE"/>
    <w:rsid w:val="00C44822"/>
    <w:rsid w:val="00C456D7"/>
    <w:rsid w:val="00C46FF7"/>
    <w:rsid w:val="00C472E4"/>
    <w:rsid w:val="00C500D5"/>
    <w:rsid w:val="00C50594"/>
    <w:rsid w:val="00C51272"/>
    <w:rsid w:val="00C52263"/>
    <w:rsid w:val="00C53261"/>
    <w:rsid w:val="00C54A21"/>
    <w:rsid w:val="00C56507"/>
    <w:rsid w:val="00C56838"/>
    <w:rsid w:val="00C56B2E"/>
    <w:rsid w:val="00C56C0A"/>
    <w:rsid w:val="00C57963"/>
    <w:rsid w:val="00C57A18"/>
    <w:rsid w:val="00C60492"/>
    <w:rsid w:val="00C61A76"/>
    <w:rsid w:val="00C62925"/>
    <w:rsid w:val="00C64076"/>
    <w:rsid w:val="00C642FC"/>
    <w:rsid w:val="00C655B2"/>
    <w:rsid w:val="00C65E82"/>
    <w:rsid w:val="00C663F7"/>
    <w:rsid w:val="00C67FC8"/>
    <w:rsid w:val="00C70D65"/>
    <w:rsid w:val="00C710D5"/>
    <w:rsid w:val="00C71B34"/>
    <w:rsid w:val="00C73C85"/>
    <w:rsid w:val="00C74192"/>
    <w:rsid w:val="00C744C9"/>
    <w:rsid w:val="00C749B8"/>
    <w:rsid w:val="00C75127"/>
    <w:rsid w:val="00C75BD1"/>
    <w:rsid w:val="00C76159"/>
    <w:rsid w:val="00C771EB"/>
    <w:rsid w:val="00C77B5E"/>
    <w:rsid w:val="00C805F6"/>
    <w:rsid w:val="00C83541"/>
    <w:rsid w:val="00C836A3"/>
    <w:rsid w:val="00C8618E"/>
    <w:rsid w:val="00C86C18"/>
    <w:rsid w:val="00C874A5"/>
    <w:rsid w:val="00C909F1"/>
    <w:rsid w:val="00C90C9A"/>
    <w:rsid w:val="00C9332C"/>
    <w:rsid w:val="00C941F3"/>
    <w:rsid w:val="00C96AEE"/>
    <w:rsid w:val="00C978F7"/>
    <w:rsid w:val="00CA063A"/>
    <w:rsid w:val="00CA5632"/>
    <w:rsid w:val="00CA6195"/>
    <w:rsid w:val="00CA6D3F"/>
    <w:rsid w:val="00CB3805"/>
    <w:rsid w:val="00CB4430"/>
    <w:rsid w:val="00CB4DAE"/>
    <w:rsid w:val="00CB5085"/>
    <w:rsid w:val="00CB5640"/>
    <w:rsid w:val="00CB5F16"/>
    <w:rsid w:val="00CC07BD"/>
    <w:rsid w:val="00CC4749"/>
    <w:rsid w:val="00CC5567"/>
    <w:rsid w:val="00CC6523"/>
    <w:rsid w:val="00CD1AE3"/>
    <w:rsid w:val="00CD4617"/>
    <w:rsid w:val="00CD6969"/>
    <w:rsid w:val="00CE011E"/>
    <w:rsid w:val="00CE128E"/>
    <w:rsid w:val="00CE2AB1"/>
    <w:rsid w:val="00CE4E33"/>
    <w:rsid w:val="00CE60FF"/>
    <w:rsid w:val="00CE692B"/>
    <w:rsid w:val="00CE6C19"/>
    <w:rsid w:val="00CE77BD"/>
    <w:rsid w:val="00CF1AF0"/>
    <w:rsid w:val="00CF1D11"/>
    <w:rsid w:val="00CF2140"/>
    <w:rsid w:val="00CF2B81"/>
    <w:rsid w:val="00CF3265"/>
    <w:rsid w:val="00CF4F2C"/>
    <w:rsid w:val="00CF79AC"/>
    <w:rsid w:val="00D019E6"/>
    <w:rsid w:val="00D02FBD"/>
    <w:rsid w:val="00D0375B"/>
    <w:rsid w:val="00D03953"/>
    <w:rsid w:val="00D0465B"/>
    <w:rsid w:val="00D05E99"/>
    <w:rsid w:val="00D10473"/>
    <w:rsid w:val="00D10519"/>
    <w:rsid w:val="00D107DB"/>
    <w:rsid w:val="00D1587A"/>
    <w:rsid w:val="00D17CA5"/>
    <w:rsid w:val="00D203FB"/>
    <w:rsid w:val="00D24F7D"/>
    <w:rsid w:val="00D27EB5"/>
    <w:rsid w:val="00D30227"/>
    <w:rsid w:val="00D30DE2"/>
    <w:rsid w:val="00D32AAF"/>
    <w:rsid w:val="00D35C07"/>
    <w:rsid w:val="00D366FD"/>
    <w:rsid w:val="00D37005"/>
    <w:rsid w:val="00D4040C"/>
    <w:rsid w:val="00D40890"/>
    <w:rsid w:val="00D42100"/>
    <w:rsid w:val="00D430C9"/>
    <w:rsid w:val="00D453E5"/>
    <w:rsid w:val="00D46862"/>
    <w:rsid w:val="00D47A93"/>
    <w:rsid w:val="00D51DC6"/>
    <w:rsid w:val="00D53264"/>
    <w:rsid w:val="00D553F1"/>
    <w:rsid w:val="00D554EE"/>
    <w:rsid w:val="00D55785"/>
    <w:rsid w:val="00D55E2E"/>
    <w:rsid w:val="00D55ECB"/>
    <w:rsid w:val="00D56696"/>
    <w:rsid w:val="00D6396C"/>
    <w:rsid w:val="00D63ADD"/>
    <w:rsid w:val="00D6455D"/>
    <w:rsid w:val="00D645EF"/>
    <w:rsid w:val="00D65E4D"/>
    <w:rsid w:val="00D668A3"/>
    <w:rsid w:val="00D670BE"/>
    <w:rsid w:val="00D678EB"/>
    <w:rsid w:val="00D702EC"/>
    <w:rsid w:val="00D71F43"/>
    <w:rsid w:val="00D721BC"/>
    <w:rsid w:val="00D76D34"/>
    <w:rsid w:val="00D77334"/>
    <w:rsid w:val="00D82B45"/>
    <w:rsid w:val="00D83759"/>
    <w:rsid w:val="00D86BF0"/>
    <w:rsid w:val="00D87159"/>
    <w:rsid w:val="00D87DE1"/>
    <w:rsid w:val="00D912ED"/>
    <w:rsid w:val="00D93453"/>
    <w:rsid w:val="00D940AC"/>
    <w:rsid w:val="00D94CB7"/>
    <w:rsid w:val="00D96875"/>
    <w:rsid w:val="00D96A4D"/>
    <w:rsid w:val="00D97021"/>
    <w:rsid w:val="00D9779B"/>
    <w:rsid w:val="00DA08A1"/>
    <w:rsid w:val="00DA1E0C"/>
    <w:rsid w:val="00DA2DBC"/>
    <w:rsid w:val="00DA3E3C"/>
    <w:rsid w:val="00DA780B"/>
    <w:rsid w:val="00DB0097"/>
    <w:rsid w:val="00DB01B9"/>
    <w:rsid w:val="00DB5B73"/>
    <w:rsid w:val="00DB6B57"/>
    <w:rsid w:val="00DB76A1"/>
    <w:rsid w:val="00DB7725"/>
    <w:rsid w:val="00DC0497"/>
    <w:rsid w:val="00DC1511"/>
    <w:rsid w:val="00DC15DE"/>
    <w:rsid w:val="00DC4A78"/>
    <w:rsid w:val="00DC630F"/>
    <w:rsid w:val="00DC693D"/>
    <w:rsid w:val="00DC756B"/>
    <w:rsid w:val="00DC76FC"/>
    <w:rsid w:val="00DD13BB"/>
    <w:rsid w:val="00DD38C3"/>
    <w:rsid w:val="00DD3D3F"/>
    <w:rsid w:val="00DD4417"/>
    <w:rsid w:val="00DD5F7F"/>
    <w:rsid w:val="00DD6000"/>
    <w:rsid w:val="00DD7404"/>
    <w:rsid w:val="00DE1868"/>
    <w:rsid w:val="00DE2793"/>
    <w:rsid w:val="00DE2D34"/>
    <w:rsid w:val="00DE31CD"/>
    <w:rsid w:val="00DE3E74"/>
    <w:rsid w:val="00DE4300"/>
    <w:rsid w:val="00DE53CE"/>
    <w:rsid w:val="00DE6584"/>
    <w:rsid w:val="00DF06D0"/>
    <w:rsid w:val="00DF070E"/>
    <w:rsid w:val="00DF085C"/>
    <w:rsid w:val="00DF1174"/>
    <w:rsid w:val="00DF3947"/>
    <w:rsid w:val="00DF44A5"/>
    <w:rsid w:val="00DF5459"/>
    <w:rsid w:val="00DF5C25"/>
    <w:rsid w:val="00DF6308"/>
    <w:rsid w:val="00DF677C"/>
    <w:rsid w:val="00DF6FFE"/>
    <w:rsid w:val="00DF7320"/>
    <w:rsid w:val="00E02B7B"/>
    <w:rsid w:val="00E031B4"/>
    <w:rsid w:val="00E03790"/>
    <w:rsid w:val="00E038E5"/>
    <w:rsid w:val="00E071C5"/>
    <w:rsid w:val="00E07E33"/>
    <w:rsid w:val="00E1041C"/>
    <w:rsid w:val="00E117F3"/>
    <w:rsid w:val="00E11FBE"/>
    <w:rsid w:val="00E12692"/>
    <w:rsid w:val="00E13132"/>
    <w:rsid w:val="00E13760"/>
    <w:rsid w:val="00E14A5D"/>
    <w:rsid w:val="00E153F5"/>
    <w:rsid w:val="00E1629E"/>
    <w:rsid w:val="00E16D67"/>
    <w:rsid w:val="00E21E68"/>
    <w:rsid w:val="00E24A2C"/>
    <w:rsid w:val="00E255C4"/>
    <w:rsid w:val="00E27DFF"/>
    <w:rsid w:val="00E320CB"/>
    <w:rsid w:val="00E37D76"/>
    <w:rsid w:val="00E40266"/>
    <w:rsid w:val="00E4092F"/>
    <w:rsid w:val="00E42D97"/>
    <w:rsid w:val="00E45509"/>
    <w:rsid w:val="00E45690"/>
    <w:rsid w:val="00E45AE9"/>
    <w:rsid w:val="00E45C24"/>
    <w:rsid w:val="00E507CC"/>
    <w:rsid w:val="00E513DA"/>
    <w:rsid w:val="00E5175E"/>
    <w:rsid w:val="00E52BB2"/>
    <w:rsid w:val="00E52FF1"/>
    <w:rsid w:val="00E548B9"/>
    <w:rsid w:val="00E549D3"/>
    <w:rsid w:val="00E60CBD"/>
    <w:rsid w:val="00E6116E"/>
    <w:rsid w:val="00E61A11"/>
    <w:rsid w:val="00E62321"/>
    <w:rsid w:val="00E6284A"/>
    <w:rsid w:val="00E63986"/>
    <w:rsid w:val="00E65B87"/>
    <w:rsid w:val="00E6757D"/>
    <w:rsid w:val="00E67C21"/>
    <w:rsid w:val="00E720E5"/>
    <w:rsid w:val="00E72323"/>
    <w:rsid w:val="00E73B04"/>
    <w:rsid w:val="00E749DF"/>
    <w:rsid w:val="00E75855"/>
    <w:rsid w:val="00E7657F"/>
    <w:rsid w:val="00E77C6C"/>
    <w:rsid w:val="00E81B73"/>
    <w:rsid w:val="00E824B2"/>
    <w:rsid w:val="00E854E6"/>
    <w:rsid w:val="00E859EC"/>
    <w:rsid w:val="00E85C94"/>
    <w:rsid w:val="00E91D48"/>
    <w:rsid w:val="00E91F43"/>
    <w:rsid w:val="00E92C90"/>
    <w:rsid w:val="00E94811"/>
    <w:rsid w:val="00E950E3"/>
    <w:rsid w:val="00E9572D"/>
    <w:rsid w:val="00E95B95"/>
    <w:rsid w:val="00E96576"/>
    <w:rsid w:val="00E96A45"/>
    <w:rsid w:val="00E97A39"/>
    <w:rsid w:val="00EA0D36"/>
    <w:rsid w:val="00EA1D2B"/>
    <w:rsid w:val="00EA4958"/>
    <w:rsid w:val="00EA5B7F"/>
    <w:rsid w:val="00EA6FAB"/>
    <w:rsid w:val="00EA70C7"/>
    <w:rsid w:val="00EA7A02"/>
    <w:rsid w:val="00EB27FF"/>
    <w:rsid w:val="00EB3F98"/>
    <w:rsid w:val="00EB4EE7"/>
    <w:rsid w:val="00EB6C32"/>
    <w:rsid w:val="00EB7CF3"/>
    <w:rsid w:val="00EC2029"/>
    <w:rsid w:val="00EC4A01"/>
    <w:rsid w:val="00EC52F7"/>
    <w:rsid w:val="00EC5E8A"/>
    <w:rsid w:val="00EC64A6"/>
    <w:rsid w:val="00EC689B"/>
    <w:rsid w:val="00ED0C84"/>
    <w:rsid w:val="00ED2EB6"/>
    <w:rsid w:val="00ED3163"/>
    <w:rsid w:val="00ED336C"/>
    <w:rsid w:val="00ED3929"/>
    <w:rsid w:val="00ED3DB1"/>
    <w:rsid w:val="00ED4FE7"/>
    <w:rsid w:val="00ED5941"/>
    <w:rsid w:val="00EE027B"/>
    <w:rsid w:val="00EE4575"/>
    <w:rsid w:val="00EE4B84"/>
    <w:rsid w:val="00EE7F31"/>
    <w:rsid w:val="00EF15C2"/>
    <w:rsid w:val="00EF1608"/>
    <w:rsid w:val="00EF2398"/>
    <w:rsid w:val="00EF2E5D"/>
    <w:rsid w:val="00F02421"/>
    <w:rsid w:val="00F02579"/>
    <w:rsid w:val="00F02766"/>
    <w:rsid w:val="00F02F17"/>
    <w:rsid w:val="00F04486"/>
    <w:rsid w:val="00F04596"/>
    <w:rsid w:val="00F05AEB"/>
    <w:rsid w:val="00F06CAB"/>
    <w:rsid w:val="00F0753F"/>
    <w:rsid w:val="00F105CC"/>
    <w:rsid w:val="00F10FDD"/>
    <w:rsid w:val="00F126F0"/>
    <w:rsid w:val="00F1282E"/>
    <w:rsid w:val="00F13284"/>
    <w:rsid w:val="00F1330F"/>
    <w:rsid w:val="00F14067"/>
    <w:rsid w:val="00F14599"/>
    <w:rsid w:val="00F14A58"/>
    <w:rsid w:val="00F15641"/>
    <w:rsid w:val="00F162CE"/>
    <w:rsid w:val="00F210F4"/>
    <w:rsid w:val="00F229D9"/>
    <w:rsid w:val="00F230ED"/>
    <w:rsid w:val="00F23128"/>
    <w:rsid w:val="00F238D1"/>
    <w:rsid w:val="00F249FA"/>
    <w:rsid w:val="00F24D37"/>
    <w:rsid w:val="00F255A9"/>
    <w:rsid w:val="00F2588E"/>
    <w:rsid w:val="00F26350"/>
    <w:rsid w:val="00F26E85"/>
    <w:rsid w:val="00F3012A"/>
    <w:rsid w:val="00F3163D"/>
    <w:rsid w:val="00F33992"/>
    <w:rsid w:val="00F34B85"/>
    <w:rsid w:val="00F3590F"/>
    <w:rsid w:val="00F374F2"/>
    <w:rsid w:val="00F376D7"/>
    <w:rsid w:val="00F42726"/>
    <w:rsid w:val="00F42B74"/>
    <w:rsid w:val="00F42D3E"/>
    <w:rsid w:val="00F43069"/>
    <w:rsid w:val="00F4445F"/>
    <w:rsid w:val="00F44EA4"/>
    <w:rsid w:val="00F452F9"/>
    <w:rsid w:val="00F46815"/>
    <w:rsid w:val="00F50E06"/>
    <w:rsid w:val="00F511CB"/>
    <w:rsid w:val="00F528CE"/>
    <w:rsid w:val="00F52931"/>
    <w:rsid w:val="00F52FA5"/>
    <w:rsid w:val="00F55675"/>
    <w:rsid w:val="00F566F0"/>
    <w:rsid w:val="00F6169A"/>
    <w:rsid w:val="00F61EB4"/>
    <w:rsid w:val="00F637FD"/>
    <w:rsid w:val="00F64F6D"/>
    <w:rsid w:val="00F6588D"/>
    <w:rsid w:val="00F674C7"/>
    <w:rsid w:val="00F712A0"/>
    <w:rsid w:val="00F7199D"/>
    <w:rsid w:val="00F722F6"/>
    <w:rsid w:val="00F74EC2"/>
    <w:rsid w:val="00F76EE7"/>
    <w:rsid w:val="00F77D3F"/>
    <w:rsid w:val="00F82178"/>
    <w:rsid w:val="00F86E75"/>
    <w:rsid w:val="00F86F57"/>
    <w:rsid w:val="00F8750B"/>
    <w:rsid w:val="00F87662"/>
    <w:rsid w:val="00F907F2"/>
    <w:rsid w:val="00F92DA5"/>
    <w:rsid w:val="00F9581B"/>
    <w:rsid w:val="00F9767E"/>
    <w:rsid w:val="00F97FC2"/>
    <w:rsid w:val="00FA0792"/>
    <w:rsid w:val="00FA189A"/>
    <w:rsid w:val="00FA1B9D"/>
    <w:rsid w:val="00FA2487"/>
    <w:rsid w:val="00FA40BD"/>
    <w:rsid w:val="00FA5DD0"/>
    <w:rsid w:val="00FA6897"/>
    <w:rsid w:val="00FA6C8B"/>
    <w:rsid w:val="00FA6E02"/>
    <w:rsid w:val="00FA731E"/>
    <w:rsid w:val="00FB036C"/>
    <w:rsid w:val="00FB0B0D"/>
    <w:rsid w:val="00FB19A3"/>
    <w:rsid w:val="00FB1BA3"/>
    <w:rsid w:val="00FB1C9F"/>
    <w:rsid w:val="00FB2D16"/>
    <w:rsid w:val="00FB3082"/>
    <w:rsid w:val="00FC006A"/>
    <w:rsid w:val="00FC2715"/>
    <w:rsid w:val="00FC3703"/>
    <w:rsid w:val="00FC391C"/>
    <w:rsid w:val="00FC4464"/>
    <w:rsid w:val="00FC534E"/>
    <w:rsid w:val="00FC5808"/>
    <w:rsid w:val="00FC6764"/>
    <w:rsid w:val="00FC76A2"/>
    <w:rsid w:val="00FC7B87"/>
    <w:rsid w:val="00FD09AB"/>
    <w:rsid w:val="00FD0D3B"/>
    <w:rsid w:val="00FD1027"/>
    <w:rsid w:val="00FD186B"/>
    <w:rsid w:val="00FD1D99"/>
    <w:rsid w:val="00FD298E"/>
    <w:rsid w:val="00FD4CA0"/>
    <w:rsid w:val="00FD4D0D"/>
    <w:rsid w:val="00FD4E71"/>
    <w:rsid w:val="00FD5080"/>
    <w:rsid w:val="00FE0747"/>
    <w:rsid w:val="00FE260B"/>
    <w:rsid w:val="00FE2B20"/>
    <w:rsid w:val="00FE3BD2"/>
    <w:rsid w:val="00FF1D32"/>
    <w:rsid w:val="00FF28B0"/>
    <w:rsid w:val="00FF3642"/>
    <w:rsid w:val="00FF41AD"/>
    <w:rsid w:val="00FF4F1A"/>
    <w:rsid w:val="00FF53AC"/>
    <w:rsid w:val="00FF5FDC"/>
    <w:rsid w:val="010A5041"/>
    <w:rsid w:val="010D3379"/>
    <w:rsid w:val="01156C56"/>
    <w:rsid w:val="01255120"/>
    <w:rsid w:val="012B4701"/>
    <w:rsid w:val="01311D17"/>
    <w:rsid w:val="01401F5A"/>
    <w:rsid w:val="015E0632"/>
    <w:rsid w:val="01657C13"/>
    <w:rsid w:val="017C78FF"/>
    <w:rsid w:val="018207C5"/>
    <w:rsid w:val="01844D0B"/>
    <w:rsid w:val="018D0F17"/>
    <w:rsid w:val="01C40DDD"/>
    <w:rsid w:val="01D07389"/>
    <w:rsid w:val="01FE3350"/>
    <w:rsid w:val="022A6766"/>
    <w:rsid w:val="022B099C"/>
    <w:rsid w:val="02355837"/>
    <w:rsid w:val="024261A6"/>
    <w:rsid w:val="0280020B"/>
    <w:rsid w:val="02BC4A08"/>
    <w:rsid w:val="02BE3A7E"/>
    <w:rsid w:val="02E64D83"/>
    <w:rsid w:val="02E917C6"/>
    <w:rsid w:val="03062D2F"/>
    <w:rsid w:val="031D37A8"/>
    <w:rsid w:val="033D590D"/>
    <w:rsid w:val="03546191"/>
    <w:rsid w:val="039E740C"/>
    <w:rsid w:val="03AD764F"/>
    <w:rsid w:val="03E2226C"/>
    <w:rsid w:val="03F37758"/>
    <w:rsid w:val="03FF60FC"/>
    <w:rsid w:val="04177352"/>
    <w:rsid w:val="04182746"/>
    <w:rsid w:val="042F4508"/>
    <w:rsid w:val="043210F1"/>
    <w:rsid w:val="04367AF8"/>
    <w:rsid w:val="043813A6"/>
    <w:rsid w:val="044259F2"/>
    <w:rsid w:val="044C50BA"/>
    <w:rsid w:val="04782AAE"/>
    <w:rsid w:val="047C774D"/>
    <w:rsid w:val="04AD3DAA"/>
    <w:rsid w:val="04BC3254"/>
    <w:rsid w:val="04CD2BB5"/>
    <w:rsid w:val="04FE63B4"/>
    <w:rsid w:val="05031C1C"/>
    <w:rsid w:val="050D64D6"/>
    <w:rsid w:val="051841DA"/>
    <w:rsid w:val="054D1E6D"/>
    <w:rsid w:val="056A1C9B"/>
    <w:rsid w:val="057161FA"/>
    <w:rsid w:val="05762682"/>
    <w:rsid w:val="058645FB"/>
    <w:rsid w:val="05890001"/>
    <w:rsid w:val="05950818"/>
    <w:rsid w:val="05CB3411"/>
    <w:rsid w:val="05FE23E4"/>
    <w:rsid w:val="060A2EF6"/>
    <w:rsid w:val="062005AC"/>
    <w:rsid w:val="06256FA3"/>
    <w:rsid w:val="064B46DF"/>
    <w:rsid w:val="0659586C"/>
    <w:rsid w:val="065F10D4"/>
    <w:rsid w:val="06803C9C"/>
    <w:rsid w:val="069B0067"/>
    <w:rsid w:val="06F67E47"/>
    <w:rsid w:val="070752C8"/>
    <w:rsid w:val="0744651C"/>
    <w:rsid w:val="076D15CF"/>
    <w:rsid w:val="076D7821"/>
    <w:rsid w:val="078E5270"/>
    <w:rsid w:val="07B42921"/>
    <w:rsid w:val="07B92A66"/>
    <w:rsid w:val="07E76EF1"/>
    <w:rsid w:val="07F910B5"/>
    <w:rsid w:val="0808622A"/>
    <w:rsid w:val="082038E6"/>
    <w:rsid w:val="08251EAA"/>
    <w:rsid w:val="082779D0"/>
    <w:rsid w:val="082F4AD6"/>
    <w:rsid w:val="08502DB0"/>
    <w:rsid w:val="086E1AA3"/>
    <w:rsid w:val="08732C15"/>
    <w:rsid w:val="08762705"/>
    <w:rsid w:val="087A4733"/>
    <w:rsid w:val="08984829"/>
    <w:rsid w:val="08FF094D"/>
    <w:rsid w:val="09155571"/>
    <w:rsid w:val="09296316"/>
    <w:rsid w:val="0963712E"/>
    <w:rsid w:val="09727A0F"/>
    <w:rsid w:val="09916EF4"/>
    <w:rsid w:val="09AE1EBE"/>
    <w:rsid w:val="09AE7AB6"/>
    <w:rsid w:val="09B434E5"/>
    <w:rsid w:val="09CA2D09"/>
    <w:rsid w:val="09CB082F"/>
    <w:rsid w:val="09CD45A7"/>
    <w:rsid w:val="09D678FF"/>
    <w:rsid w:val="09F25D5F"/>
    <w:rsid w:val="09F81E67"/>
    <w:rsid w:val="09FB1114"/>
    <w:rsid w:val="0A081482"/>
    <w:rsid w:val="0A1026E6"/>
    <w:rsid w:val="0A2E61C0"/>
    <w:rsid w:val="0A6C0264"/>
    <w:rsid w:val="0A717628"/>
    <w:rsid w:val="0A93759F"/>
    <w:rsid w:val="0A9B28F7"/>
    <w:rsid w:val="0AA25A34"/>
    <w:rsid w:val="0AC92FC0"/>
    <w:rsid w:val="0AFA5870"/>
    <w:rsid w:val="0B1103B5"/>
    <w:rsid w:val="0B13248D"/>
    <w:rsid w:val="0B6017B9"/>
    <w:rsid w:val="0B7B7DE4"/>
    <w:rsid w:val="0B871679"/>
    <w:rsid w:val="0BA457DB"/>
    <w:rsid w:val="0BCE3FEB"/>
    <w:rsid w:val="0BF7192C"/>
    <w:rsid w:val="0BFF003E"/>
    <w:rsid w:val="0C480432"/>
    <w:rsid w:val="0C59614E"/>
    <w:rsid w:val="0C830617"/>
    <w:rsid w:val="0CA6624D"/>
    <w:rsid w:val="0CB40F26"/>
    <w:rsid w:val="0CC021A1"/>
    <w:rsid w:val="0CCC6D98"/>
    <w:rsid w:val="0CDD71F7"/>
    <w:rsid w:val="0CED2245"/>
    <w:rsid w:val="0CF74D52"/>
    <w:rsid w:val="0D161D84"/>
    <w:rsid w:val="0D171176"/>
    <w:rsid w:val="0D1B3C8D"/>
    <w:rsid w:val="0D1D4F92"/>
    <w:rsid w:val="0D246BD4"/>
    <w:rsid w:val="0D374B59"/>
    <w:rsid w:val="0D3D1A44"/>
    <w:rsid w:val="0D3D37F2"/>
    <w:rsid w:val="0D515E8D"/>
    <w:rsid w:val="0D8458C4"/>
    <w:rsid w:val="0DA6037A"/>
    <w:rsid w:val="0DD71E42"/>
    <w:rsid w:val="0DEA1BCB"/>
    <w:rsid w:val="0DF77E44"/>
    <w:rsid w:val="0E2805A4"/>
    <w:rsid w:val="0E561EBD"/>
    <w:rsid w:val="0E6A0AE8"/>
    <w:rsid w:val="0E72396F"/>
    <w:rsid w:val="0E9A0203"/>
    <w:rsid w:val="0EA1730C"/>
    <w:rsid w:val="0EB9159E"/>
    <w:rsid w:val="0EF71D66"/>
    <w:rsid w:val="0F046E28"/>
    <w:rsid w:val="0F0E18EA"/>
    <w:rsid w:val="0F19203C"/>
    <w:rsid w:val="0F4D0AAA"/>
    <w:rsid w:val="0F59233E"/>
    <w:rsid w:val="0F65034F"/>
    <w:rsid w:val="0F7F00F1"/>
    <w:rsid w:val="0F8B118C"/>
    <w:rsid w:val="0F9506CB"/>
    <w:rsid w:val="0FAB4004"/>
    <w:rsid w:val="0FAD1102"/>
    <w:rsid w:val="0FB73D2F"/>
    <w:rsid w:val="0FBF1CE2"/>
    <w:rsid w:val="0FDD2A78"/>
    <w:rsid w:val="10086339"/>
    <w:rsid w:val="101C1DE4"/>
    <w:rsid w:val="10202503"/>
    <w:rsid w:val="103F5AB4"/>
    <w:rsid w:val="1063632A"/>
    <w:rsid w:val="10655129"/>
    <w:rsid w:val="10A67900"/>
    <w:rsid w:val="10BB15FD"/>
    <w:rsid w:val="10EF7E56"/>
    <w:rsid w:val="10F13271"/>
    <w:rsid w:val="10F3685C"/>
    <w:rsid w:val="11193219"/>
    <w:rsid w:val="113605CA"/>
    <w:rsid w:val="11457119"/>
    <w:rsid w:val="115E01DA"/>
    <w:rsid w:val="117A036C"/>
    <w:rsid w:val="118E286E"/>
    <w:rsid w:val="118F0378"/>
    <w:rsid w:val="11A77DD3"/>
    <w:rsid w:val="11B62646"/>
    <w:rsid w:val="11B83D8F"/>
    <w:rsid w:val="12211934"/>
    <w:rsid w:val="123D4149"/>
    <w:rsid w:val="126B0E01"/>
    <w:rsid w:val="12744159"/>
    <w:rsid w:val="12E666D9"/>
    <w:rsid w:val="12EE01CF"/>
    <w:rsid w:val="13223BB5"/>
    <w:rsid w:val="13272F78"/>
    <w:rsid w:val="13367661"/>
    <w:rsid w:val="13512D10"/>
    <w:rsid w:val="13651CF4"/>
    <w:rsid w:val="13697265"/>
    <w:rsid w:val="13A50343"/>
    <w:rsid w:val="13BD2572"/>
    <w:rsid w:val="13D30E93"/>
    <w:rsid w:val="13E42C19"/>
    <w:rsid w:val="13F41DC8"/>
    <w:rsid w:val="14212297"/>
    <w:rsid w:val="14553B17"/>
    <w:rsid w:val="1457163D"/>
    <w:rsid w:val="1461426A"/>
    <w:rsid w:val="147F2942"/>
    <w:rsid w:val="14832432"/>
    <w:rsid w:val="149208C7"/>
    <w:rsid w:val="14976B1B"/>
    <w:rsid w:val="14B20F69"/>
    <w:rsid w:val="14BC1DE8"/>
    <w:rsid w:val="14F325EF"/>
    <w:rsid w:val="15131497"/>
    <w:rsid w:val="152534C4"/>
    <w:rsid w:val="152B4B13"/>
    <w:rsid w:val="153C0833"/>
    <w:rsid w:val="15435BF2"/>
    <w:rsid w:val="15567B46"/>
    <w:rsid w:val="156712A9"/>
    <w:rsid w:val="159F14ED"/>
    <w:rsid w:val="15B91E83"/>
    <w:rsid w:val="15DC08CC"/>
    <w:rsid w:val="15DF4B06"/>
    <w:rsid w:val="160D0B3E"/>
    <w:rsid w:val="16175528"/>
    <w:rsid w:val="16352BFB"/>
    <w:rsid w:val="16377978"/>
    <w:rsid w:val="164E4CC1"/>
    <w:rsid w:val="164E6403"/>
    <w:rsid w:val="1654299B"/>
    <w:rsid w:val="165669B3"/>
    <w:rsid w:val="1677276B"/>
    <w:rsid w:val="168954C0"/>
    <w:rsid w:val="169E262B"/>
    <w:rsid w:val="16AF0347"/>
    <w:rsid w:val="16BB4159"/>
    <w:rsid w:val="16E573D4"/>
    <w:rsid w:val="16EF0253"/>
    <w:rsid w:val="17096457"/>
    <w:rsid w:val="171D50F7"/>
    <w:rsid w:val="171E4694"/>
    <w:rsid w:val="17237001"/>
    <w:rsid w:val="174C3A48"/>
    <w:rsid w:val="178847A7"/>
    <w:rsid w:val="178A2F73"/>
    <w:rsid w:val="17920BDE"/>
    <w:rsid w:val="17A27610"/>
    <w:rsid w:val="17A708DF"/>
    <w:rsid w:val="17AA4179"/>
    <w:rsid w:val="17BE19D3"/>
    <w:rsid w:val="17D313A3"/>
    <w:rsid w:val="17F65611"/>
    <w:rsid w:val="18047D2E"/>
    <w:rsid w:val="1805023C"/>
    <w:rsid w:val="18170B93"/>
    <w:rsid w:val="182F467F"/>
    <w:rsid w:val="182F6239"/>
    <w:rsid w:val="18461A54"/>
    <w:rsid w:val="185221F2"/>
    <w:rsid w:val="185D743E"/>
    <w:rsid w:val="186B1B5B"/>
    <w:rsid w:val="18700F1F"/>
    <w:rsid w:val="1876442F"/>
    <w:rsid w:val="18846D2A"/>
    <w:rsid w:val="18893D8F"/>
    <w:rsid w:val="188F2DDB"/>
    <w:rsid w:val="18A961DF"/>
    <w:rsid w:val="18AE1A47"/>
    <w:rsid w:val="18EB67F8"/>
    <w:rsid w:val="190C423E"/>
    <w:rsid w:val="19164FA5"/>
    <w:rsid w:val="192F2B88"/>
    <w:rsid w:val="19397563"/>
    <w:rsid w:val="19516FA3"/>
    <w:rsid w:val="19BB1243"/>
    <w:rsid w:val="19E41BC5"/>
    <w:rsid w:val="19FB6F0E"/>
    <w:rsid w:val="1A0D324C"/>
    <w:rsid w:val="1A35519B"/>
    <w:rsid w:val="1A450189"/>
    <w:rsid w:val="1A4A57A0"/>
    <w:rsid w:val="1A5F749D"/>
    <w:rsid w:val="1A7651FA"/>
    <w:rsid w:val="1A972B45"/>
    <w:rsid w:val="1AAB4490"/>
    <w:rsid w:val="1AB5530F"/>
    <w:rsid w:val="1B4855C5"/>
    <w:rsid w:val="1B502C94"/>
    <w:rsid w:val="1B657081"/>
    <w:rsid w:val="1B7156DA"/>
    <w:rsid w:val="1BA52068"/>
    <w:rsid w:val="1BE063BC"/>
    <w:rsid w:val="1C00080C"/>
    <w:rsid w:val="1C1B2F7B"/>
    <w:rsid w:val="1C322AA9"/>
    <w:rsid w:val="1C3E0F62"/>
    <w:rsid w:val="1C3E1334"/>
    <w:rsid w:val="1C424981"/>
    <w:rsid w:val="1C643CFD"/>
    <w:rsid w:val="1C677D82"/>
    <w:rsid w:val="1C775C44"/>
    <w:rsid w:val="1C7C45A4"/>
    <w:rsid w:val="1C7F3E27"/>
    <w:rsid w:val="1C9A167C"/>
    <w:rsid w:val="1C9D605B"/>
    <w:rsid w:val="1CA13205"/>
    <w:rsid w:val="1CB03FE0"/>
    <w:rsid w:val="1CB25FAA"/>
    <w:rsid w:val="1CBF2475"/>
    <w:rsid w:val="1CDD0B4D"/>
    <w:rsid w:val="1CF83C14"/>
    <w:rsid w:val="1CFF02CB"/>
    <w:rsid w:val="1D012325"/>
    <w:rsid w:val="1D0D796C"/>
    <w:rsid w:val="1D41310E"/>
    <w:rsid w:val="1D4D7A81"/>
    <w:rsid w:val="1D5A03F0"/>
    <w:rsid w:val="1D61177E"/>
    <w:rsid w:val="1D812873"/>
    <w:rsid w:val="1D854AFC"/>
    <w:rsid w:val="1D870000"/>
    <w:rsid w:val="1D9E264E"/>
    <w:rsid w:val="1DCC3B4B"/>
    <w:rsid w:val="1DD93F7F"/>
    <w:rsid w:val="1DF93765"/>
    <w:rsid w:val="1E2B2D0C"/>
    <w:rsid w:val="1E3B3D7D"/>
    <w:rsid w:val="1E793D07"/>
    <w:rsid w:val="1E9623BB"/>
    <w:rsid w:val="1EA700D7"/>
    <w:rsid w:val="1EB26468"/>
    <w:rsid w:val="1EC01001"/>
    <w:rsid w:val="1ECE699F"/>
    <w:rsid w:val="1ED8781E"/>
    <w:rsid w:val="1EE73F05"/>
    <w:rsid w:val="1EEB2065"/>
    <w:rsid w:val="1F0C74C8"/>
    <w:rsid w:val="1F101F8D"/>
    <w:rsid w:val="1F185E6D"/>
    <w:rsid w:val="1F2D3BB3"/>
    <w:rsid w:val="1F8F25D3"/>
    <w:rsid w:val="1F925C1F"/>
    <w:rsid w:val="1F9B3610"/>
    <w:rsid w:val="1FA9750D"/>
    <w:rsid w:val="1FAB6CE1"/>
    <w:rsid w:val="1FC14756"/>
    <w:rsid w:val="1FCF6E73"/>
    <w:rsid w:val="1FDF1459"/>
    <w:rsid w:val="1FF266BE"/>
    <w:rsid w:val="200B777F"/>
    <w:rsid w:val="200D799B"/>
    <w:rsid w:val="20190339"/>
    <w:rsid w:val="202C6073"/>
    <w:rsid w:val="202D1DEC"/>
    <w:rsid w:val="20346CD6"/>
    <w:rsid w:val="203C17F2"/>
    <w:rsid w:val="206104AB"/>
    <w:rsid w:val="208366E3"/>
    <w:rsid w:val="20915ED7"/>
    <w:rsid w:val="209239FD"/>
    <w:rsid w:val="20CC5161"/>
    <w:rsid w:val="20E00C0C"/>
    <w:rsid w:val="20F3093F"/>
    <w:rsid w:val="20FC3C98"/>
    <w:rsid w:val="211803A6"/>
    <w:rsid w:val="213C2D5B"/>
    <w:rsid w:val="214B2529"/>
    <w:rsid w:val="214E3DC8"/>
    <w:rsid w:val="215A451A"/>
    <w:rsid w:val="21723F5A"/>
    <w:rsid w:val="217355DC"/>
    <w:rsid w:val="21920158"/>
    <w:rsid w:val="219C4B33"/>
    <w:rsid w:val="21A410C8"/>
    <w:rsid w:val="21D00F87"/>
    <w:rsid w:val="21DA1AFF"/>
    <w:rsid w:val="21E873A9"/>
    <w:rsid w:val="224A458F"/>
    <w:rsid w:val="224C4BD3"/>
    <w:rsid w:val="22637EB0"/>
    <w:rsid w:val="226E080D"/>
    <w:rsid w:val="22851A6B"/>
    <w:rsid w:val="2288155B"/>
    <w:rsid w:val="228E4DC3"/>
    <w:rsid w:val="22B97967"/>
    <w:rsid w:val="22BA5BB9"/>
    <w:rsid w:val="22CE0BB3"/>
    <w:rsid w:val="22D16A5E"/>
    <w:rsid w:val="230B6414"/>
    <w:rsid w:val="2351194D"/>
    <w:rsid w:val="235F406A"/>
    <w:rsid w:val="236F25AE"/>
    <w:rsid w:val="237C10C0"/>
    <w:rsid w:val="23A83A0D"/>
    <w:rsid w:val="23AE1199"/>
    <w:rsid w:val="23AE5916"/>
    <w:rsid w:val="23B430A3"/>
    <w:rsid w:val="23C123B8"/>
    <w:rsid w:val="23F32A04"/>
    <w:rsid w:val="242258D5"/>
    <w:rsid w:val="244A4D1A"/>
    <w:rsid w:val="245416BA"/>
    <w:rsid w:val="24593831"/>
    <w:rsid w:val="24957DD5"/>
    <w:rsid w:val="249D7540"/>
    <w:rsid w:val="24C06D8A"/>
    <w:rsid w:val="24D82326"/>
    <w:rsid w:val="251666B8"/>
    <w:rsid w:val="2524556B"/>
    <w:rsid w:val="255372CC"/>
    <w:rsid w:val="25666E08"/>
    <w:rsid w:val="256E2C8A"/>
    <w:rsid w:val="25733DFD"/>
    <w:rsid w:val="25C81489"/>
    <w:rsid w:val="25D845A8"/>
    <w:rsid w:val="25EE2D75"/>
    <w:rsid w:val="261F21D6"/>
    <w:rsid w:val="26661BB3"/>
    <w:rsid w:val="26806A39"/>
    <w:rsid w:val="268E4153"/>
    <w:rsid w:val="26B80661"/>
    <w:rsid w:val="26DB7EAB"/>
    <w:rsid w:val="26F471BF"/>
    <w:rsid w:val="26F8527B"/>
    <w:rsid w:val="271F7DC1"/>
    <w:rsid w:val="272950BB"/>
    <w:rsid w:val="27427F2B"/>
    <w:rsid w:val="274E4B21"/>
    <w:rsid w:val="27960276"/>
    <w:rsid w:val="27C46B92"/>
    <w:rsid w:val="27C55A4B"/>
    <w:rsid w:val="27D40264"/>
    <w:rsid w:val="27EB2370"/>
    <w:rsid w:val="27EE3C0E"/>
    <w:rsid w:val="27F51441"/>
    <w:rsid w:val="28094EEC"/>
    <w:rsid w:val="281F2EF5"/>
    <w:rsid w:val="2826007F"/>
    <w:rsid w:val="282D2989"/>
    <w:rsid w:val="283427BA"/>
    <w:rsid w:val="28506677"/>
    <w:rsid w:val="2886653D"/>
    <w:rsid w:val="28AD5878"/>
    <w:rsid w:val="28B9421C"/>
    <w:rsid w:val="28C759B8"/>
    <w:rsid w:val="28F12E95"/>
    <w:rsid w:val="28F57442"/>
    <w:rsid w:val="28F811E9"/>
    <w:rsid w:val="29086F52"/>
    <w:rsid w:val="29211BC6"/>
    <w:rsid w:val="297B3BC8"/>
    <w:rsid w:val="29894432"/>
    <w:rsid w:val="2996630C"/>
    <w:rsid w:val="299B6018"/>
    <w:rsid w:val="29A0362E"/>
    <w:rsid w:val="29A529F3"/>
    <w:rsid w:val="29C25353"/>
    <w:rsid w:val="29CA071F"/>
    <w:rsid w:val="29CE1F49"/>
    <w:rsid w:val="29DC54CC"/>
    <w:rsid w:val="29EB0C54"/>
    <w:rsid w:val="2A1E1B25"/>
    <w:rsid w:val="2A2658E2"/>
    <w:rsid w:val="2A2F2642"/>
    <w:rsid w:val="2A3D51DB"/>
    <w:rsid w:val="2A53244F"/>
    <w:rsid w:val="2A767BEC"/>
    <w:rsid w:val="2A8820F8"/>
    <w:rsid w:val="2A8D34B3"/>
    <w:rsid w:val="2A955869"/>
    <w:rsid w:val="2A96135F"/>
    <w:rsid w:val="2AC1560A"/>
    <w:rsid w:val="2AE34015"/>
    <w:rsid w:val="2B0626A5"/>
    <w:rsid w:val="2B1D22CA"/>
    <w:rsid w:val="2B313680"/>
    <w:rsid w:val="2B435D4D"/>
    <w:rsid w:val="2B65068C"/>
    <w:rsid w:val="2B715282"/>
    <w:rsid w:val="2B7277D6"/>
    <w:rsid w:val="2B754ED7"/>
    <w:rsid w:val="2B762899"/>
    <w:rsid w:val="2B876854"/>
    <w:rsid w:val="2BB4516F"/>
    <w:rsid w:val="2BBB0ECF"/>
    <w:rsid w:val="2BBB43C4"/>
    <w:rsid w:val="2BDE7D31"/>
    <w:rsid w:val="2BE37D65"/>
    <w:rsid w:val="2C102B57"/>
    <w:rsid w:val="2C114C0F"/>
    <w:rsid w:val="2C1B6F9C"/>
    <w:rsid w:val="2C414C55"/>
    <w:rsid w:val="2C7768C8"/>
    <w:rsid w:val="2C7843EE"/>
    <w:rsid w:val="2C9034E6"/>
    <w:rsid w:val="2C9D3A40"/>
    <w:rsid w:val="2CB216AE"/>
    <w:rsid w:val="2CD31625"/>
    <w:rsid w:val="2CDC497D"/>
    <w:rsid w:val="2CE1228C"/>
    <w:rsid w:val="2CF369CD"/>
    <w:rsid w:val="2D12214D"/>
    <w:rsid w:val="2D2520DA"/>
    <w:rsid w:val="2D391DD0"/>
    <w:rsid w:val="2D564730"/>
    <w:rsid w:val="2D7C1CBC"/>
    <w:rsid w:val="2D7D3282"/>
    <w:rsid w:val="2D8432FA"/>
    <w:rsid w:val="2D9177D0"/>
    <w:rsid w:val="2DB3570E"/>
    <w:rsid w:val="2DBD655D"/>
    <w:rsid w:val="2DD105BA"/>
    <w:rsid w:val="2DED4667"/>
    <w:rsid w:val="2E1E4B22"/>
    <w:rsid w:val="2E277CC4"/>
    <w:rsid w:val="2E291E44"/>
    <w:rsid w:val="2E352312"/>
    <w:rsid w:val="2E5A3DAC"/>
    <w:rsid w:val="2E5F36A1"/>
    <w:rsid w:val="2E681DB2"/>
    <w:rsid w:val="2E782484"/>
    <w:rsid w:val="2E823302"/>
    <w:rsid w:val="2E9B5BAC"/>
    <w:rsid w:val="2E9C0F87"/>
    <w:rsid w:val="2E9F2106"/>
    <w:rsid w:val="2ED95618"/>
    <w:rsid w:val="2EF27E76"/>
    <w:rsid w:val="2EF36113"/>
    <w:rsid w:val="2EF37D5C"/>
    <w:rsid w:val="2F032695"/>
    <w:rsid w:val="2F0B37BA"/>
    <w:rsid w:val="2F265668"/>
    <w:rsid w:val="2F477220"/>
    <w:rsid w:val="2F662C24"/>
    <w:rsid w:val="2F690A5E"/>
    <w:rsid w:val="2F7169E1"/>
    <w:rsid w:val="2F7964B4"/>
    <w:rsid w:val="2FC82F97"/>
    <w:rsid w:val="2FD302BA"/>
    <w:rsid w:val="2FD44032"/>
    <w:rsid w:val="2FDE27BA"/>
    <w:rsid w:val="2FF3270A"/>
    <w:rsid w:val="2FFD0E93"/>
    <w:rsid w:val="300541EB"/>
    <w:rsid w:val="304271ED"/>
    <w:rsid w:val="304325BD"/>
    <w:rsid w:val="305F1B4D"/>
    <w:rsid w:val="30684B33"/>
    <w:rsid w:val="309061AB"/>
    <w:rsid w:val="30972047"/>
    <w:rsid w:val="30AC4667"/>
    <w:rsid w:val="30C6397A"/>
    <w:rsid w:val="30E107B4"/>
    <w:rsid w:val="30FA1876"/>
    <w:rsid w:val="31406FDD"/>
    <w:rsid w:val="31605B7D"/>
    <w:rsid w:val="31836C23"/>
    <w:rsid w:val="31973569"/>
    <w:rsid w:val="31C3435E"/>
    <w:rsid w:val="31C35F31"/>
    <w:rsid w:val="31CB333D"/>
    <w:rsid w:val="31D75713"/>
    <w:rsid w:val="32252923"/>
    <w:rsid w:val="32410D7E"/>
    <w:rsid w:val="3248655B"/>
    <w:rsid w:val="324A2389"/>
    <w:rsid w:val="327F40E6"/>
    <w:rsid w:val="328175E9"/>
    <w:rsid w:val="328533C1"/>
    <w:rsid w:val="32AC3044"/>
    <w:rsid w:val="32AE1A99"/>
    <w:rsid w:val="33380434"/>
    <w:rsid w:val="334F0F3B"/>
    <w:rsid w:val="33806DB1"/>
    <w:rsid w:val="33911A19"/>
    <w:rsid w:val="33B65F28"/>
    <w:rsid w:val="33C1667B"/>
    <w:rsid w:val="33CD760B"/>
    <w:rsid w:val="342866FA"/>
    <w:rsid w:val="34372941"/>
    <w:rsid w:val="34727D99"/>
    <w:rsid w:val="347A51A8"/>
    <w:rsid w:val="34945B3E"/>
    <w:rsid w:val="349F69BC"/>
    <w:rsid w:val="34B36604"/>
    <w:rsid w:val="34BE4995"/>
    <w:rsid w:val="34E40873"/>
    <w:rsid w:val="34E57BE0"/>
    <w:rsid w:val="352011B6"/>
    <w:rsid w:val="35330CD3"/>
    <w:rsid w:val="353C420B"/>
    <w:rsid w:val="353E4E8E"/>
    <w:rsid w:val="354016EB"/>
    <w:rsid w:val="358D2CB9"/>
    <w:rsid w:val="35BE2C54"/>
    <w:rsid w:val="35C673C5"/>
    <w:rsid w:val="36015455"/>
    <w:rsid w:val="363A1903"/>
    <w:rsid w:val="363D46DF"/>
    <w:rsid w:val="36405F7D"/>
    <w:rsid w:val="36462E68"/>
    <w:rsid w:val="36463828"/>
    <w:rsid w:val="36794C6B"/>
    <w:rsid w:val="367A02F3"/>
    <w:rsid w:val="367F45F6"/>
    <w:rsid w:val="36877708"/>
    <w:rsid w:val="368D718F"/>
    <w:rsid w:val="3690626B"/>
    <w:rsid w:val="36ABA35F"/>
    <w:rsid w:val="36CC15BF"/>
    <w:rsid w:val="36D63395"/>
    <w:rsid w:val="36E36898"/>
    <w:rsid w:val="36F6663C"/>
    <w:rsid w:val="37090CD6"/>
    <w:rsid w:val="370B7A5D"/>
    <w:rsid w:val="370C641A"/>
    <w:rsid w:val="372B7C56"/>
    <w:rsid w:val="372C6501"/>
    <w:rsid w:val="374101FF"/>
    <w:rsid w:val="3747503C"/>
    <w:rsid w:val="37702892"/>
    <w:rsid w:val="37743C09"/>
    <w:rsid w:val="3780410B"/>
    <w:rsid w:val="37955E55"/>
    <w:rsid w:val="37AE5168"/>
    <w:rsid w:val="37BD18D7"/>
    <w:rsid w:val="37E34E12"/>
    <w:rsid w:val="37EA43F2"/>
    <w:rsid w:val="381274A5"/>
    <w:rsid w:val="3814248D"/>
    <w:rsid w:val="381E081F"/>
    <w:rsid w:val="382D55B6"/>
    <w:rsid w:val="382F0057"/>
    <w:rsid w:val="384B0C09"/>
    <w:rsid w:val="385171D1"/>
    <w:rsid w:val="387C0BB8"/>
    <w:rsid w:val="38A327F3"/>
    <w:rsid w:val="38A677FE"/>
    <w:rsid w:val="38D66725"/>
    <w:rsid w:val="38EF5A38"/>
    <w:rsid w:val="38FE5C7B"/>
    <w:rsid w:val="391D07F7"/>
    <w:rsid w:val="39273424"/>
    <w:rsid w:val="393A4F06"/>
    <w:rsid w:val="394713D0"/>
    <w:rsid w:val="39535398"/>
    <w:rsid w:val="396046AE"/>
    <w:rsid w:val="3975337B"/>
    <w:rsid w:val="397C3FDE"/>
    <w:rsid w:val="39934616"/>
    <w:rsid w:val="39AE5709"/>
    <w:rsid w:val="39BD1693"/>
    <w:rsid w:val="39D4535A"/>
    <w:rsid w:val="39E13D03"/>
    <w:rsid w:val="39EE7A9E"/>
    <w:rsid w:val="3A0B4B47"/>
    <w:rsid w:val="3A267238"/>
    <w:rsid w:val="3A410516"/>
    <w:rsid w:val="3A7C32FC"/>
    <w:rsid w:val="3A840F8D"/>
    <w:rsid w:val="3A9B7C26"/>
    <w:rsid w:val="3AA27206"/>
    <w:rsid w:val="3AAF547F"/>
    <w:rsid w:val="3AD13648"/>
    <w:rsid w:val="3ADB6274"/>
    <w:rsid w:val="3AF060BE"/>
    <w:rsid w:val="3B0350DF"/>
    <w:rsid w:val="3B0854BC"/>
    <w:rsid w:val="3B0A24EB"/>
    <w:rsid w:val="3B243095"/>
    <w:rsid w:val="3B25439A"/>
    <w:rsid w:val="3B2E39A5"/>
    <w:rsid w:val="3B3A5239"/>
    <w:rsid w:val="3B4503AF"/>
    <w:rsid w:val="3B567FF1"/>
    <w:rsid w:val="3B5E66F2"/>
    <w:rsid w:val="3B6224F2"/>
    <w:rsid w:val="3B680026"/>
    <w:rsid w:val="3B6D6E59"/>
    <w:rsid w:val="3B799681"/>
    <w:rsid w:val="3B90705F"/>
    <w:rsid w:val="3BAC7AF6"/>
    <w:rsid w:val="3BB05953"/>
    <w:rsid w:val="3BDC004C"/>
    <w:rsid w:val="3BE671AF"/>
    <w:rsid w:val="3BEC4C83"/>
    <w:rsid w:val="3BF55114"/>
    <w:rsid w:val="3C034C82"/>
    <w:rsid w:val="3C3E6BD4"/>
    <w:rsid w:val="3C402568"/>
    <w:rsid w:val="3C4C0CDA"/>
    <w:rsid w:val="3C6B33AC"/>
    <w:rsid w:val="3C6F136A"/>
    <w:rsid w:val="3C833CE0"/>
    <w:rsid w:val="3C9809F8"/>
    <w:rsid w:val="3CBE19AA"/>
    <w:rsid w:val="3CC21B20"/>
    <w:rsid w:val="3CC64719"/>
    <w:rsid w:val="3CC86CCC"/>
    <w:rsid w:val="3CCD42E3"/>
    <w:rsid w:val="3CD64F45"/>
    <w:rsid w:val="3CD857FF"/>
    <w:rsid w:val="3D130342"/>
    <w:rsid w:val="3D251A29"/>
    <w:rsid w:val="3D402D06"/>
    <w:rsid w:val="3D4E71D1"/>
    <w:rsid w:val="3D795AE8"/>
    <w:rsid w:val="3D932E36"/>
    <w:rsid w:val="3DAA0CF8"/>
    <w:rsid w:val="3DC92CFC"/>
    <w:rsid w:val="3DEC2546"/>
    <w:rsid w:val="3E09134A"/>
    <w:rsid w:val="3E145966"/>
    <w:rsid w:val="3E2919ED"/>
    <w:rsid w:val="3E2E7003"/>
    <w:rsid w:val="3E43485C"/>
    <w:rsid w:val="3E5C591E"/>
    <w:rsid w:val="3E8B7FB1"/>
    <w:rsid w:val="3E9939C1"/>
    <w:rsid w:val="3EBC4E7A"/>
    <w:rsid w:val="3EC6723B"/>
    <w:rsid w:val="3EF75647"/>
    <w:rsid w:val="3F4A7370"/>
    <w:rsid w:val="3F4A7F61"/>
    <w:rsid w:val="3F5E56C6"/>
    <w:rsid w:val="3F6213BA"/>
    <w:rsid w:val="3F7E786A"/>
    <w:rsid w:val="3F8A45CE"/>
    <w:rsid w:val="3F954B5E"/>
    <w:rsid w:val="3F961829"/>
    <w:rsid w:val="3FAA1E5F"/>
    <w:rsid w:val="3FAE3F57"/>
    <w:rsid w:val="3FB452E6"/>
    <w:rsid w:val="3FBA6DA0"/>
    <w:rsid w:val="3FC76DC7"/>
    <w:rsid w:val="3FE756BB"/>
    <w:rsid w:val="3FE77469"/>
    <w:rsid w:val="3FFF678B"/>
    <w:rsid w:val="404008FA"/>
    <w:rsid w:val="40672358"/>
    <w:rsid w:val="40750F19"/>
    <w:rsid w:val="4081166C"/>
    <w:rsid w:val="40890521"/>
    <w:rsid w:val="4095516A"/>
    <w:rsid w:val="409E3BD5"/>
    <w:rsid w:val="40AD2461"/>
    <w:rsid w:val="40B21825"/>
    <w:rsid w:val="40B94CC0"/>
    <w:rsid w:val="40BE466E"/>
    <w:rsid w:val="40C559FD"/>
    <w:rsid w:val="40CB4BDA"/>
    <w:rsid w:val="40E01ACC"/>
    <w:rsid w:val="40EB11DB"/>
    <w:rsid w:val="40F1325A"/>
    <w:rsid w:val="410924C1"/>
    <w:rsid w:val="41297BBD"/>
    <w:rsid w:val="413B7A6D"/>
    <w:rsid w:val="413C4351"/>
    <w:rsid w:val="41434B73"/>
    <w:rsid w:val="41483F38"/>
    <w:rsid w:val="41980AAB"/>
    <w:rsid w:val="41AD023F"/>
    <w:rsid w:val="41FD11C6"/>
    <w:rsid w:val="420662CD"/>
    <w:rsid w:val="42073A89"/>
    <w:rsid w:val="420C2FE8"/>
    <w:rsid w:val="422446CE"/>
    <w:rsid w:val="422B7AE1"/>
    <w:rsid w:val="42725710"/>
    <w:rsid w:val="42B17DA4"/>
    <w:rsid w:val="42B850ED"/>
    <w:rsid w:val="42C13FA2"/>
    <w:rsid w:val="42E14644"/>
    <w:rsid w:val="42FC147E"/>
    <w:rsid w:val="430420E0"/>
    <w:rsid w:val="432F1E46"/>
    <w:rsid w:val="4345786D"/>
    <w:rsid w:val="43580FF9"/>
    <w:rsid w:val="435F2257"/>
    <w:rsid w:val="439C027C"/>
    <w:rsid w:val="43AD2778"/>
    <w:rsid w:val="43BB6C43"/>
    <w:rsid w:val="43CA7AC6"/>
    <w:rsid w:val="43DD305D"/>
    <w:rsid w:val="440C749E"/>
    <w:rsid w:val="4416656F"/>
    <w:rsid w:val="441904CA"/>
    <w:rsid w:val="44520CA4"/>
    <w:rsid w:val="44531571"/>
    <w:rsid w:val="445A645C"/>
    <w:rsid w:val="445F7FB9"/>
    <w:rsid w:val="446724B7"/>
    <w:rsid w:val="447A1E68"/>
    <w:rsid w:val="44843BDD"/>
    <w:rsid w:val="44986F84"/>
    <w:rsid w:val="44B14540"/>
    <w:rsid w:val="44B32013"/>
    <w:rsid w:val="44BD69EB"/>
    <w:rsid w:val="44BF09B5"/>
    <w:rsid w:val="44EC107E"/>
    <w:rsid w:val="44F544E1"/>
    <w:rsid w:val="44F56185"/>
    <w:rsid w:val="44F71EFD"/>
    <w:rsid w:val="45062FA5"/>
    <w:rsid w:val="452137A8"/>
    <w:rsid w:val="45435142"/>
    <w:rsid w:val="455D245B"/>
    <w:rsid w:val="4561305F"/>
    <w:rsid w:val="459C2AA4"/>
    <w:rsid w:val="45A100BA"/>
    <w:rsid w:val="45B46040"/>
    <w:rsid w:val="45BE6EBE"/>
    <w:rsid w:val="45F11042"/>
    <w:rsid w:val="46032B23"/>
    <w:rsid w:val="46054AED"/>
    <w:rsid w:val="46072613"/>
    <w:rsid w:val="46135147"/>
    <w:rsid w:val="462A6302"/>
    <w:rsid w:val="463C1AC9"/>
    <w:rsid w:val="465B470D"/>
    <w:rsid w:val="46916103"/>
    <w:rsid w:val="46936C54"/>
    <w:rsid w:val="469618BE"/>
    <w:rsid w:val="469623E1"/>
    <w:rsid w:val="469C2DE7"/>
    <w:rsid w:val="46AB11D8"/>
    <w:rsid w:val="46BB5C1A"/>
    <w:rsid w:val="46D66444"/>
    <w:rsid w:val="47064A15"/>
    <w:rsid w:val="474C7708"/>
    <w:rsid w:val="47777325"/>
    <w:rsid w:val="47831DE0"/>
    <w:rsid w:val="47912C97"/>
    <w:rsid w:val="47A260C9"/>
    <w:rsid w:val="47B73BC5"/>
    <w:rsid w:val="47DC5924"/>
    <w:rsid w:val="47FB61A8"/>
    <w:rsid w:val="48166B3E"/>
    <w:rsid w:val="481935D8"/>
    <w:rsid w:val="482C6361"/>
    <w:rsid w:val="48561630"/>
    <w:rsid w:val="4876582E"/>
    <w:rsid w:val="4891671A"/>
    <w:rsid w:val="489A151D"/>
    <w:rsid w:val="489E014C"/>
    <w:rsid w:val="489F12B3"/>
    <w:rsid w:val="48BA3162"/>
    <w:rsid w:val="48CD31D7"/>
    <w:rsid w:val="48DD0D98"/>
    <w:rsid w:val="48E43FA6"/>
    <w:rsid w:val="48F75C9D"/>
    <w:rsid w:val="48FA6149"/>
    <w:rsid w:val="491B090B"/>
    <w:rsid w:val="492139EC"/>
    <w:rsid w:val="49226828"/>
    <w:rsid w:val="4942171F"/>
    <w:rsid w:val="494D658F"/>
    <w:rsid w:val="49647D77"/>
    <w:rsid w:val="49731136"/>
    <w:rsid w:val="499C12C5"/>
    <w:rsid w:val="49A10689"/>
    <w:rsid w:val="49AA39E1"/>
    <w:rsid w:val="49AC016B"/>
    <w:rsid w:val="49BE56DF"/>
    <w:rsid w:val="49DC5B65"/>
    <w:rsid w:val="49DE5A33"/>
    <w:rsid w:val="49DE63B9"/>
    <w:rsid w:val="49E335D2"/>
    <w:rsid w:val="49FB5CEC"/>
    <w:rsid w:val="4A174DEF"/>
    <w:rsid w:val="4A174FEC"/>
    <w:rsid w:val="4A201EF6"/>
    <w:rsid w:val="4A2A2FB8"/>
    <w:rsid w:val="4A873D23"/>
    <w:rsid w:val="4A8A7B5A"/>
    <w:rsid w:val="4A8C1339"/>
    <w:rsid w:val="4AA043E7"/>
    <w:rsid w:val="4AD625B4"/>
    <w:rsid w:val="4AD8457E"/>
    <w:rsid w:val="4ADE308A"/>
    <w:rsid w:val="4AF45F04"/>
    <w:rsid w:val="4AFC64BF"/>
    <w:rsid w:val="4B8D5369"/>
    <w:rsid w:val="4B9D30D2"/>
    <w:rsid w:val="4BA6642B"/>
    <w:rsid w:val="4BA95F1B"/>
    <w:rsid w:val="4BCE3FFA"/>
    <w:rsid w:val="4BED22AB"/>
    <w:rsid w:val="4BEF7421"/>
    <w:rsid w:val="4BF65F31"/>
    <w:rsid w:val="4C080E93"/>
    <w:rsid w:val="4C241E79"/>
    <w:rsid w:val="4C2832E3"/>
    <w:rsid w:val="4C2F01CE"/>
    <w:rsid w:val="4C404189"/>
    <w:rsid w:val="4C46376A"/>
    <w:rsid w:val="4C501A44"/>
    <w:rsid w:val="4C5B7DD5"/>
    <w:rsid w:val="4C656166"/>
    <w:rsid w:val="4C6C4753"/>
    <w:rsid w:val="4C75097F"/>
    <w:rsid w:val="4C784AD5"/>
    <w:rsid w:val="4C843198"/>
    <w:rsid w:val="4C8A7AFA"/>
    <w:rsid w:val="4CAA4683"/>
    <w:rsid w:val="4CB42DC9"/>
    <w:rsid w:val="4CB46925"/>
    <w:rsid w:val="4D5634F0"/>
    <w:rsid w:val="4D5B4FF3"/>
    <w:rsid w:val="4D777715"/>
    <w:rsid w:val="4D7F0CE1"/>
    <w:rsid w:val="4D922050"/>
    <w:rsid w:val="4D9F3131"/>
    <w:rsid w:val="4DA14869"/>
    <w:rsid w:val="4DB20386"/>
    <w:rsid w:val="4DBA7F6B"/>
    <w:rsid w:val="4DBF1A26"/>
    <w:rsid w:val="4DE60D60"/>
    <w:rsid w:val="4E0D199A"/>
    <w:rsid w:val="4E261AA5"/>
    <w:rsid w:val="4E2A3343"/>
    <w:rsid w:val="4E41068C"/>
    <w:rsid w:val="4E686830"/>
    <w:rsid w:val="4E6879C7"/>
    <w:rsid w:val="4E8F13F8"/>
    <w:rsid w:val="4EC07803"/>
    <w:rsid w:val="4EC85307"/>
    <w:rsid w:val="4EF86F9D"/>
    <w:rsid w:val="4EFA0F67"/>
    <w:rsid w:val="4EFD443D"/>
    <w:rsid w:val="4F0B3174"/>
    <w:rsid w:val="4F113F75"/>
    <w:rsid w:val="4F1E452A"/>
    <w:rsid w:val="4F3D590F"/>
    <w:rsid w:val="4F3F4BCC"/>
    <w:rsid w:val="4F4026F2"/>
    <w:rsid w:val="4F4F5829"/>
    <w:rsid w:val="4F5148FF"/>
    <w:rsid w:val="4F836083"/>
    <w:rsid w:val="4F8F1E96"/>
    <w:rsid w:val="4F960564"/>
    <w:rsid w:val="4FAA2338"/>
    <w:rsid w:val="4FBD1F95"/>
    <w:rsid w:val="4FC155E1"/>
    <w:rsid w:val="4FED55C7"/>
    <w:rsid w:val="4FF27E90"/>
    <w:rsid w:val="50044053"/>
    <w:rsid w:val="500804DB"/>
    <w:rsid w:val="50243D3A"/>
    <w:rsid w:val="50556E9C"/>
    <w:rsid w:val="506A211C"/>
    <w:rsid w:val="507B18E2"/>
    <w:rsid w:val="50827466"/>
    <w:rsid w:val="50EE68AA"/>
    <w:rsid w:val="50FD6AED"/>
    <w:rsid w:val="5119769F"/>
    <w:rsid w:val="511D718F"/>
    <w:rsid w:val="5124051D"/>
    <w:rsid w:val="51311242"/>
    <w:rsid w:val="513D338D"/>
    <w:rsid w:val="516458DD"/>
    <w:rsid w:val="517B5A7B"/>
    <w:rsid w:val="51A67184"/>
    <w:rsid w:val="51C57DE7"/>
    <w:rsid w:val="51F83758"/>
    <w:rsid w:val="522C3C23"/>
    <w:rsid w:val="5261450C"/>
    <w:rsid w:val="526F1F4E"/>
    <w:rsid w:val="52840BEF"/>
    <w:rsid w:val="52DE64AA"/>
    <w:rsid w:val="52FB3500"/>
    <w:rsid w:val="532A1EE2"/>
    <w:rsid w:val="53394028"/>
    <w:rsid w:val="533E33EC"/>
    <w:rsid w:val="5347092C"/>
    <w:rsid w:val="536A3507"/>
    <w:rsid w:val="536B4A2C"/>
    <w:rsid w:val="536C7C6B"/>
    <w:rsid w:val="53762B86"/>
    <w:rsid w:val="53780202"/>
    <w:rsid w:val="537A4A16"/>
    <w:rsid w:val="538B376A"/>
    <w:rsid w:val="539354E6"/>
    <w:rsid w:val="53A96AB8"/>
    <w:rsid w:val="53BD1BF0"/>
    <w:rsid w:val="53C9715A"/>
    <w:rsid w:val="54016E61"/>
    <w:rsid w:val="542F72A2"/>
    <w:rsid w:val="54302A24"/>
    <w:rsid w:val="54406946"/>
    <w:rsid w:val="545C3B2A"/>
    <w:rsid w:val="545F185B"/>
    <w:rsid w:val="54776BB6"/>
    <w:rsid w:val="547A5D6A"/>
    <w:rsid w:val="5488577A"/>
    <w:rsid w:val="548A223D"/>
    <w:rsid w:val="54907C78"/>
    <w:rsid w:val="54927D67"/>
    <w:rsid w:val="549518D3"/>
    <w:rsid w:val="54AA0574"/>
    <w:rsid w:val="54C620A2"/>
    <w:rsid w:val="54CB6F02"/>
    <w:rsid w:val="54EA2BFA"/>
    <w:rsid w:val="54ED44E0"/>
    <w:rsid w:val="54EE1F62"/>
    <w:rsid w:val="550541C2"/>
    <w:rsid w:val="552D196B"/>
    <w:rsid w:val="55343342"/>
    <w:rsid w:val="554C0043"/>
    <w:rsid w:val="55552C0B"/>
    <w:rsid w:val="555E1B24"/>
    <w:rsid w:val="558E2409"/>
    <w:rsid w:val="5594267A"/>
    <w:rsid w:val="55AC6E9D"/>
    <w:rsid w:val="55B87486"/>
    <w:rsid w:val="56052DAF"/>
    <w:rsid w:val="56075D18"/>
    <w:rsid w:val="56076C39"/>
    <w:rsid w:val="56141D44"/>
    <w:rsid w:val="56220DA3"/>
    <w:rsid w:val="564C5FB4"/>
    <w:rsid w:val="565F6940"/>
    <w:rsid w:val="566C201F"/>
    <w:rsid w:val="568832FC"/>
    <w:rsid w:val="568F468B"/>
    <w:rsid w:val="569E667C"/>
    <w:rsid w:val="56A812A9"/>
    <w:rsid w:val="56B91708"/>
    <w:rsid w:val="56E9366F"/>
    <w:rsid w:val="570F1328"/>
    <w:rsid w:val="573E5FAE"/>
    <w:rsid w:val="573F3A30"/>
    <w:rsid w:val="574014B2"/>
    <w:rsid w:val="5793048A"/>
    <w:rsid w:val="57981DED"/>
    <w:rsid w:val="57A51C8C"/>
    <w:rsid w:val="57B27F05"/>
    <w:rsid w:val="57B40121"/>
    <w:rsid w:val="57B974E6"/>
    <w:rsid w:val="57FA1FD8"/>
    <w:rsid w:val="57FB1BE5"/>
    <w:rsid w:val="580D1D53"/>
    <w:rsid w:val="583628E4"/>
    <w:rsid w:val="58474AF1"/>
    <w:rsid w:val="5856487D"/>
    <w:rsid w:val="586C3D2D"/>
    <w:rsid w:val="587A6C75"/>
    <w:rsid w:val="587D18DE"/>
    <w:rsid w:val="587F24DD"/>
    <w:rsid w:val="58816255"/>
    <w:rsid w:val="589E6E07"/>
    <w:rsid w:val="58ED251A"/>
    <w:rsid w:val="58F05189"/>
    <w:rsid w:val="58F133F6"/>
    <w:rsid w:val="593041E0"/>
    <w:rsid w:val="5939706E"/>
    <w:rsid w:val="59570D64"/>
    <w:rsid w:val="595E20F3"/>
    <w:rsid w:val="5967213C"/>
    <w:rsid w:val="59745DBA"/>
    <w:rsid w:val="59A41FA0"/>
    <w:rsid w:val="59BB5797"/>
    <w:rsid w:val="59D747E6"/>
    <w:rsid w:val="59DA247B"/>
    <w:rsid w:val="5A105AE3"/>
    <w:rsid w:val="5A176A5C"/>
    <w:rsid w:val="5A5359CF"/>
    <w:rsid w:val="5A610FAF"/>
    <w:rsid w:val="5A650D5A"/>
    <w:rsid w:val="5A673229"/>
    <w:rsid w:val="5AB521E6"/>
    <w:rsid w:val="5AC13672"/>
    <w:rsid w:val="5AC7557B"/>
    <w:rsid w:val="5AF34ABD"/>
    <w:rsid w:val="5B150ED7"/>
    <w:rsid w:val="5B1765FF"/>
    <w:rsid w:val="5B187904"/>
    <w:rsid w:val="5B205299"/>
    <w:rsid w:val="5B3F5F54"/>
    <w:rsid w:val="5B4875BF"/>
    <w:rsid w:val="5B4E4D05"/>
    <w:rsid w:val="5B555138"/>
    <w:rsid w:val="5B607CF8"/>
    <w:rsid w:val="5B785D8D"/>
    <w:rsid w:val="5BB406F0"/>
    <w:rsid w:val="5BCD355F"/>
    <w:rsid w:val="5BDD7C46"/>
    <w:rsid w:val="5BDE576D"/>
    <w:rsid w:val="5BE2700B"/>
    <w:rsid w:val="5BEF34D6"/>
    <w:rsid w:val="5C0A490D"/>
    <w:rsid w:val="5C1B4BA8"/>
    <w:rsid w:val="5C641B24"/>
    <w:rsid w:val="5C6A01AA"/>
    <w:rsid w:val="5C6E089F"/>
    <w:rsid w:val="5C8E7193"/>
    <w:rsid w:val="5C910A31"/>
    <w:rsid w:val="5C950521"/>
    <w:rsid w:val="5CBA0C04"/>
    <w:rsid w:val="5D0C00B7"/>
    <w:rsid w:val="5D1C654D"/>
    <w:rsid w:val="5D3A638B"/>
    <w:rsid w:val="5D464695"/>
    <w:rsid w:val="5D5958B4"/>
    <w:rsid w:val="5D5B1F15"/>
    <w:rsid w:val="5D5E1D3C"/>
    <w:rsid w:val="5D612CC1"/>
    <w:rsid w:val="5D7719D5"/>
    <w:rsid w:val="5DE52DE2"/>
    <w:rsid w:val="5E007C1C"/>
    <w:rsid w:val="5E437FD7"/>
    <w:rsid w:val="5E521233"/>
    <w:rsid w:val="5E623B68"/>
    <w:rsid w:val="5E7D301B"/>
    <w:rsid w:val="5E872AA3"/>
    <w:rsid w:val="5E8E7EB0"/>
    <w:rsid w:val="5E9D3AC8"/>
    <w:rsid w:val="5EAE1426"/>
    <w:rsid w:val="5EC450EE"/>
    <w:rsid w:val="5EE4753E"/>
    <w:rsid w:val="5EE834BB"/>
    <w:rsid w:val="5EE94B54"/>
    <w:rsid w:val="5EF62DCD"/>
    <w:rsid w:val="5EFD0600"/>
    <w:rsid w:val="5F276574"/>
    <w:rsid w:val="5F574BF4"/>
    <w:rsid w:val="5F5C0E82"/>
    <w:rsid w:val="5F73441E"/>
    <w:rsid w:val="5F842877"/>
    <w:rsid w:val="5F8E7A52"/>
    <w:rsid w:val="5FE175D9"/>
    <w:rsid w:val="5FE53CE4"/>
    <w:rsid w:val="5FE86BBA"/>
    <w:rsid w:val="600F2399"/>
    <w:rsid w:val="606B19BF"/>
    <w:rsid w:val="606F5B12"/>
    <w:rsid w:val="609E371C"/>
    <w:rsid w:val="60C82547"/>
    <w:rsid w:val="60E94998"/>
    <w:rsid w:val="60EC26DA"/>
    <w:rsid w:val="60F12F0B"/>
    <w:rsid w:val="60F35816"/>
    <w:rsid w:val="60F71CFB"/>
    <w:rsid w:val="61074C4A"/>
    <w:rsid w:val="611B4D6D"/>
    <w:rsid w:val="611F660B"/>
    <w:rsid w:val="61201B0E"/>
    <w:rsid w:val="61302A02"/>
    <w:rsid w:val="613C7C9C"/>
    <w:rsid w:val="616B35FF"/>
    <w:rsid w:val="61750921"/>
    <w:rsid w:val="6189617B"/>
    <w:rsid w:val="619A2136"/>
    <w:rsid w:val="61B56F70"/>
    <w:rsid w:val="61C3343B"/>
    <w:rsid w:val="61C4732D"/>
    <w:rsid w:val="61D03DA9"/>
    <w:rsid w:val="61E3588B"/>
    <w:rsid w:val="61FF3FD4"/>
    <w:rsid w:val="62045801"/>
    <w:rsid w:val="62206ADF"/>
    <w:rsid w:val="624834CE"/>
    <w:rsid w:val="62610D92"/>
    <w:rsid w:val="62864468"/>
    <w:rsid w:val="62A4183E"/>
    <w:rsid w:val="62A50D92"/>
    <w:rsid w:val="62B31701"/>
    <w:rsid w:val="62B40FD5"/>
    <w:rsid w:val="62B965EC"/>
    <w:rsid w:val="62C0442F"/>
    <w:rsid w:val="62F85366"/>
    <w:rsid w:val="62FF4946"/>
    <w:rsid w:val="63065CD5"/>
    <w:rsid w:val="631877B6"/>
    <w:rsid w:val="632E7E4C"/>
    <w:rsid w:val="63C329BB"/>
    <w:rsid w:val="63D80CF3"/>
    <w:rsid w:val="63DA6A02"/>
    <w:rsid w:val="6402724C"/>
    <w:rsid w:val="64063AB3"/>
    <w:rsid w:val="640D4E41"/>
    <w:rsid w:val="640D66D5"/>
    <w:rsid w:val="64283A29"/>
    <w:rsid w:val="64472F94"/>
    <w:rsid w:val="64802D6E"/>
    <w:rsid w:val="6484382A"/>
    <w:rsid w:val="64992B79"/>
    <w:rsid w:val="64AA6B34"/>
    <w:rsid w:val="64B81251"/>
    <w:rsid w:val="64CE4172"/>
    <w:rsid w:val="64EA5182"/>
    <w:rsid w:val="65046BCA"/>
    <w:rsid w:val="650F6997"/>
    <w:rsid w:val="655343CB"/>
    <w:rsid w:val="657A4758"/>
    <w:rsid w:val="658D448B"/>
    <w:rsid w:val="659012DA"/>
    <w:rsid w:val="65A818D7"/>
    <w:rsid w:val="65B97DA5"/>
    <w:rsid w:val="65C94D98"/>
    <w:rsid w:val="65D06126"/>
    <w:rsid w:val="65DF45BB"/>
    <w:rsid w:val="66061C70"/>
    <w:rsid w:val="660E3AE9"/>
    <w:rsid w:val="66100C18"/>
    <w:rsid w:val="6612673F"/>
    <w:rsid w:val="661F2C0A"/>
    <w:rsid w:val="663649BE"/>
    <w:rsid w:val="666B1614"/>
    <w:rsid w:val="66794933"/>
    <w:rsid w:val="669C24AC"/>
    <w:rsid w:val="66AD5901"/>
    <w:rsid w:val="66BA4C17"/>
    <w:rsid w:val="66C168D8"/>
    <w:rsid w:val="66C35345"/>
    <w:rsid w:val="66CE11E4"/>
    <w:rsid w:val="66D9725C"/>
    <w:rsid w:val="66F51DEC"/>
    <w:rsid w:val="6707201B"/>
    <w:rsid w:val="670C6F9F"/>
    <w:rsid w:val="67491003"/>
    <w:rsid w:val="677D408C"/>
    <w:rsid w:val="67880147"/>
    <w:rsid w:val="6790147C"/>
    <w:rsid w:val="679A2E90"/>
    <w:rsid w:val="67A07D7A"/>
    <w:rsid w:val="67A4786A"/>
    <w:rsid w:val="67B850C4"/>
    <w:rsid w:val="67BE0FC1"/>
    <w:rsid w:val="67C21D51"/>
    <w:rsid w:val="67D839B8"/>
    <w:rsid w:val="67E027FB"/>
    <w:rsid w:val="67E1461B"/>
    <w:rsid w:val="67E4410B"/>
    <w:rsid w:val="67E85689"/>
    <w:rsid w:val="67F307F2"/>
    <w:rsid w:val="68161650"/>
    <w:rsid w:val="68464DC5"/>
    <w:rsid w:val="68694610"/>
    <w:rsid w:val="68CD4B9F"/>
    <w:rsid w:val="68DE0B5A"/>
    <w:rsid w:val="68EF39C7"/>
    <w:rsid w:val="68F71FC3"/>
    <w:rsid w:val="6922138F"/>
    <w:rsid w:val="692A0CB4"/>
    <w:rsid w:val="695D4175"/>
    <w:rsid w:val="696848C8"/>
    <w:rsid w:val="69794B1B"/>
    <w:rsid w:val="69894F6A"/>
    <w:rsid w:val="699B6A4B"/>
    <w:rsid w:val="69A1759A"/>
    <w:rsid w:val="69AE3CF0"/>
    <w:rsid w:val="69DA57C5"/>
    <w:rsid w:val="69E623BC"/>
    <w:rsid w:val="69F61ED3"/>
    <w:rsid w:val="6A2471B2"/>
    <w:rsid w:val="6A486BD3"/>
    <w:rsid w:val="6A535578"/>
    <w:rsid w:val="6A5F3F1C"/>
    <w:rsid w:val="6A674B7F"/>
    <w:rsid w:val="6A6B0B13"/>
    <w:rsid w:val="6A700C47"/>
    <w:rsid w:val="6A88795B"/>
    <w:rsid w:val="6AEA1A38"/>
    <w:rsid w:val="6B564C0B"/>
    <w:rsid w:val="6B792DBC"/>
    <w:rsid w:val="6B7E0298"/>
    <w:rsid w:val="6B873576"/>
    <w:rsid w:val="6B881251"/>
    <w:rsid w:val="6BA26F5B"/>
    <w:rsid w:val="6BA529CA"/>
    <w:rsid w:val="6BC54253"/>
    <w:rsid w:val="6BCA0B67"/>
    <w:rsid w:val="6BF80185"/>
    <w:rsid w:val="6BFD1C3F"/>
    <w:rsid w:val="6C0960CD"/>
    <w:rsid w:val="6C2D5008"/>
    <w:rsid w:val="6C3F2D24"/>
    <w:rsid w:val="6C411B2C"/>
    <w:rsid w:val="6C4739B4"/>
    <w:rsid w:val="6C6D2921"/>
    <w:rsid w:val="6CE07597"/>
    <w:rsid w:val="6D036DE1"/>
    <w:rsid w:val="6D0A63C2"/>
    <w:rsid w:val="6D1159A2"/>
    <w:rsid w:val="6D162FB8"/>
    <w:rsid w:val="6D1A237D"/>
    <w:rsid w:val="6D21370B"/>
    <w:rsid w:val="6D2F407A"/>
    <w:rsid w:val="6D316241"/>
    <w:rsid w:val="6D3671B7"/>
    <w:rsid w:val="6D837B38"/>
    <w:rsid w:val="6D85303B"/>
    <w:rsid w:val="6DA5433C"/>
    <w:rsid w:val="6DA55AEF"/>
    <w:rsid w:val="6DBB590E"/>
    <w:rsid w:val="6DCA71AD"/>
    <w:rsid w:val="6DF36E56"/>
    <w:rsid w:val="6E096679"/>
    <w:rsid w:val="6E443B55"/>
    <w:rsid w:val="6E4E0530"/>
    <w:rsid w:val="6E571195"/>
    <w:rsid w:val="6E643820"/>
    <w:rsid w:val="6E661D1D"/>
    <w:rsid w:val="6E675BAD"/>
    <w:rsid w:val="6E6E0BD2"/>
    <w:rsid w:val="6E712470"/>
    <w:rsid w:val="6E744EC2"/>
    <w:rsid w:val="6EE669BA"/>
    <w:rsid w:val="6EE80984"/>
    <w:rsid w:val="6EED49C0"/>
    <w:rsid w:val="6F1A48B6"/>
    <w:rsid w:val="6F35349E"/>
    <w:rsid w:val="6F773AB6"/>
    <w:rsid w:val="6F79782E"/>
    <w:rsid w:val="6F8A51A6"/>
    <w:rsid w:val="6FA26D85"/>
    <w:rsid w:val="6FA8452B"/>
    <w:rsid w:val="6FB22D40"/>
    <w:rsid w:val="6FB24AEE"/>
    <w:rsid w:val="6FB6638D"/>
    <w:rsid w:val="6FFB46E7"/>
    <w:rsid w:val="700346D4"/>
    <w:rsid w:val="700A07DC"/>
    <w:rsid w:val="701D28B0"/>
    <w:rsid w:val="702F51A2"/>
    <w:rsid w:val="70442F3F"/>
    <w:rsid w:val="707D334E"/>
    <w:rsid w:val="70814BED"/>
    <w:rsid w:val="70A20D5A"/>
    <w:rsid w:val="70F73101"/>
    <w:rsid w:val="70FF5B11"/>
    <w:rsid w:val="711F4406"/>
    <w:rsid w:val="714E33F1"/>
    <w:rsid w:val="71926986"/>
    <w:rsid w:val="71940950"/>
    <w:rsid w:val="71951611"/>
    <w:rsid w:val="719C7804"/>
    <w:rsid w:val="71AE4710"/>
    <w:rsid w:val="71C965BE"/>
    <w:rsid w:val="71D15700"/>
    <w:rsid w:val="71E34E3F"/>
    <w:rsid w:val="722C7C94"/>
    <w:rsid w:val="725B22AA"/>
    <w:rsid w:val="725C7D2B"/>
    <w:rsid w:val="72AB0697"/>
    <w:rsid w:val="72D11FC9"/>
    <w:rsid w:val="72F5541E"/>
    <w:rsid w:val="730012E9"/>
    <w:rsid w:val="73054CC1"/>
    <w:rsid w:val="73357F10"/>
    <w:rsid w:val="733C129F"/>
    <w:rsid w:val="734463A5"/>
    <w:rsid w:val="73972979"/>
    <w:rsid w:val="739A0A38"/>
    <w:rsid w:val="73A84E5B"/>
    <w:rsid w:val="73CF1119"/>
    <w:rsid w:val="73D547B7"/>
    <w:rsid w:val="73DA5F9E"/>
    <w:rsid w:val="73E55492"/>
    <w:rsid w:val="742A559B"/>
    <w:rsid w:val="74312230"/>
    <w:rsid w:val="74373814"/>
    <w:rsid w:val="74424693"/>
    <w:rsid w:val="745148D6"/>
    <w:rsid w:val="745D7266"/>
    <w:rsid w:val="74742919"/>
    <w:rsid w:val="7475039B"/>
    <w:rsid w:val="7486193A"/>
    <w:rsid w:val="748702F8"/>
    <w:rsid w:val="74982ED9"/>
    <w:rsid w:val="7499627D"/>
    <w:rsid w:val="74B17A6A"/>
    <w:rsid w:val="74CD20AE"/>
    <w:rsid w:val="74FE6101"/>
    <w:rsid w:val="7519692A"/>
    <w:rsid w:val="751D2A0A"/>
    <w:rsid w:val="752B5F66"/>
    <w:rsid w:val="75680129"/>
    <w:rsid w:val="756F57D5"/>
    <w:rsid w:val="75842A89"/>
    <w:rsid w:val="759A405B"/>
    <w:rsid w:val="75AA6219"/>
    <w:rsid w:val="75BC0475"/>
    <w:rsid w:val="75C31803"/>
    <w:rsid w:val="75EF25F8"/>
    <w:rsid w:val="760F0AE0"/>
    <w:rsid w:val="76255B63"/>
    <w:rsid w:val="765C05BD"/>
    <w:rsid w:val="765D5CBD"/>
    <w:rsid w:val="76695353"/>
    <w:rsid w:val="76D214CD"/>
    <w:rsid w:val="77170059"/>
    <w:rsid w:val="77255706"/>
    <w:rsid w:val="772D6395"/>
    <w:rsid w:val="774A385E"/>
    <w:rsid w:val="77514BED"/>
    <w:rsid w:val="777F175A"/>
    <w:rsid w:val="778B380C"/>
    <w:rsid w:val="77902BB7"/>
    <w:rsid w:val="779F1DFC"/>
    <w:rsid w:val="77AE7BE8"/>
    <w:rsid w:val="77B75398"/>
    <w:rsid w:val="77CB2BF1"/>
    <w:rsid w:val="781002DC"/>
    <w:rsid w:val="781F7C19"/>
    <w:rsid w:val="782F507F"/>
    <w:rsid w:val="78496C95"/>
    <w:rsid w:val="785E1CB7"/>
    <w:rsid w:val="786848E4"/>
    <w:rsid w:val="78880AE2"/>
    <w:rsid w:val="789B043C"/>
    <w:rsid w:val="78A27DF6"/>
    <w:rsid w:val="78AF42C1"/>
    <w:rsid w:val="790F4D60"/>
    <w:rsid w:val="791E4FA3"/>
    <w:rsid w:val="792A5398"/>
    <w:rsid w:val="7936053E"/>
    <w:rsid w:val="793842B6"/>
    <w:rsid w:val="793A6280"/>
    <w:rsid w:val="79404AFC"/>
    <w:rsid w:val="79533C02"/>
    <w:rsid w:val="79584959"/>
    <w:rsid w:val="795F1843"/>
    <w:rsid w:val="799B093F"/>
    <w:rsid w:val="79FC3536"/>
    <w:rsid w:val="7A0B5527"/>
    <w:rsid w:val="7A2B3800"/>
    <w:rsid w:val="7A525C3E"/>
    <w:rsid w:val="7A585B59"/>
    <w:rsid w:val="7A813A3B"/>
    <w:rsid w:val="7AA76065"/>
    <w:rsid w:val="7AD3168F"/>
    <w:rsid w:val="7AF1296F"/>
    <w:rsid w:val="7AF4420D"/>
    <w:rsid w:val="7B0434E3"/>
    <w:rsid w:val="7B045D1E"/>
    <w:rsid w:val="7B191EC6"/>
    <w:rsid w:val="7B222A93"/>
    <w:rsid w:val="7B2745E3"/>
    <w:rsid w:val="7B29241E"/>
    <w:rsid w:val="7B3665D4"/>
    <w:rsid w:val="7B384C36"/>
    <w:rsid w:val="7B5353D8"/>
    <w:rsid w:val="7B5A6766"/>
    <w:rsid w:val="7B7535A0"/>
    <w:rsid w:val="7B7C6624"/>
    <w:rsid w:val="7B82052E"/>
    <w:rsid w:val="7B83164E"/>
    <w:rsid w:val="7B885CBA"/>
    <w:rsid w:val="7B9030C7"/>
    <w:rsid w:val="7B941ACD"/>
    <w:rsid w:val="7B97648D"/>
    <w:rsid w:val="7B9A6B62"/>
    <w:rsid w:val="7BC142DE"/>
    <w:rsid w:val="7BC63DFB"/>
    <w:rsid w:val="7BD77DB7"/>
    <w:rsid w:val="7BDC717B"/>
    <w:rsid w:val="7BF91F07"/>
    <w:rsid w:val="7C016BE2"/>
    <w:rsid w:val="7C0C5586"/>
    <w:rsid w:val="7C3053FB"/>
    <w:rsid w:val="7C7F3FAA"/>
    <w:rsid w:val="7C857813"/>
    <w:rsid w:val="7CB24380"/>
    <w:rsid w:val="7CDF626C"/>
    <w:rsid w:val="7CE7227B"/>
    <w:rsid w:val="7D1172F8"/>
    <w:rsid w:val="7D1D3EEF"/>
    <w:rsid w:val="7D284642"/>
    <w:rsid w:val="7D55752F"/>
    <w:rsid w:val="7D5947FB"/>
    <w:rsid w:val="7D6438CC"/>
    <w:rsid w:val="7D99311C"/>
    <w:rsid w:val="7DAD3345"/>
    <w:rsid w:val="7DB939D1"/>
    <w:rsid w:val="7DC66335"/>
    <w:rsid w:val="7DD86EDD"/>
    <w:rsid w:val="7E335899"/>
    <w:rsid w:val="7E3F60E7"/>
    <w:rsid w:val="7E4E3EC4"/>
    <w:rsid w:val="7E4F5233"/>
    <w:rsid w:val="7E50586F"/>
    <w:rsid w:val="7E81225C"/>
    <w:rsid w:val="7E9A6542"/>
    <w:rsid w:val="7E9F26E2"/>
    <w:rsid w:val="7EC06781"/>
    <w:rsid w:val="7EC363D0"/>
    <w:rsid w:val="7EDC3936"/>
    <w:rsid w:val="7EE10F4C"/>
    <w:rsid w:val="7F0D7F93"/>
    <w:rsid w:val="7F0F7867"/>
    <w:rsid w:val="7F394978"/>
    <w:rsid w:val="7F587460"/>
    <w:rsid w:val="7F6E05FC"/>
    <w:rsid w:val="7F6F202E"/>
    <w:rsid w:val="7F7C6B34"/>
    <w:rsid w:val="7FB8479B"/>
    <w:rsid w:val="7FC95C68"/>
    <w:rsid w:val="7FCA378E"/>
    <w:rsid w:val="7FD30895"/>
    <w:rsid w:val="7FD37543"/>
    <w:rsid w:val="7FEF7B66"/>
    <w:rsid w:val="7FF058EB"/>
    <w:rsid w:val="7FFF9315"/>
    <w:rsid w:val="B1FFBC3D"/>
    <w:rsid w:val="BCFFE267"/>
    <w:rsid w:val="DD1F32C0"/>
    <w:rsid w:val="E76F32AC"/>
    <w:rsid w:val="F7FFBAB4"/>
    <w:rsid w:val="F99F5095"/>
    <w:rsid w:val="FBDE6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tabs>
        <w:tab w:val="left" w:pos="576"/>
      </w:tabs>
      <w:topLinePunct/>
      <w:adjustRightInd w:val="0"/>
      <w:snapToGrid w:val="0"/>
      <w:spacing w:before="156" w:beforeLines="50" w:after="156" w:afterLines="50" w:line="360" w:lineRule="auto"/>
      <w:jc w:val="center"/>
      <w:outlineLvl w:val="1"/>
    </w:pPr>
    <w:rPr>
      <w:rFonts w:ascii="黑体" w:eastAsia="黑体"/>
      <w:bCs/>
      <w:szCs w:val="21"/>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Document Map"/>
    <w:basedOn w:val="1"/>
    <w:semiHidden/>
    <w:qFormat/>
    <w:uiPriority w:val="0"/>
    <w:pPr>
      <w:shd w:val="clear" w:color="auto" w:fill="000080"/>
    </w:pPr>
  </w:style>
  <w:style w:type="paragraph" w:styleId="5">
    <w:name w:val="annotation text"/>
    <w:basedOn w:val="1"/>
    <w:semiHidden/>
    <w:qFormat/>
    <w:uiPriority w:val="0"/>
    <w:pPr>
      <w:jc w:val="left"/>
    </w:pPr>
  </w:style>
  <w:style w:type="paragraph" w:styleId="6">
    <w:name w:val="Body Text"/>
    <w:basedOn w:val="1"/>
    <w:qFormat/>
    <w:uiPriority w:val="1"/>
    <w:rPr>
      <w:sz w:val="20"/>
      <w:szCs w:val="20"/>
    </w:rPr>
  </w:style>
  <w:style w:type="paragraph" w:styleId="7">
    <w:name w:val="Plain Text"/>
    <w:basedOn w:val="1"/>
    <w:qFormat/>
    <w:uiPriority w:val="0"/>
    <w:rPr>
      <w:rFonts w:ascii="宋体" w:hAnsi="Courier New" w:cs="Century"/>
      <w:szCs w:val="21"/>
    </w:rPr>
  </w:style>
  <w:style w:type="paragraph" w:styleId="8">
    <w:name w:val="Date"/>
    <w:basedOn w:val="1"/>
    <w:next w:val="1"/>
    <w:qFormat/>
    <w:uiPriority w:val="0"/>
    <w:pPr>
      <w:ind w:left="100" w:leftChars="2500"/>
    </w:p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36"/>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qFormat/>
    <w:uiPriority w:val="39"/>
  </w:style>
  <w:style w:type="paragraph" w:styleId="13">
    <w:name w:val="toc 2"/>
    <w:basedOn w:val="1"/>
    <w:next w:val="1"/>
    <w:autoRedefine/>
    <w:qFormat/>
    <w:uiPriority w:val="39"/>
    <w:pPr>
      <w:ind w:left="420" w:leftChars="200"/>
    </w:pPr>
  </w:style>
  <w:style w:type="paragraph" w:styleId="14">
    <w:name w:val="Normal (Web)"/>
    <w:basedOn w:val="1"/>
    <w:qFormat/>
    <w:uiPriority w:val="0"/>
    <w:pPr>
      <w:spacing w:beforeAutospacing="1" w:afterAutospacing="1"/>
      <w:jc w:val="left"/>
    </w:pPr>
    <w:rPr>
      <w:kern w:val="0"/>
      <w:sz w:val="24"/>
    </w:rPr>
  </w:style>
  <w:style w:type="paragraph" w:styleId="15">
    <w:name w:val="annotation subject"/>
    <w:basedOn w:val="5"/>
    <w:next w:val="5"/>
    <w:semiHidden/>
    <w:qFormat/>
    <w:uiPriority w:val="0"/>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basedOn w:val="18"/>
    <w:qFormat/>
    <w:uiPriority w:val="0"/>
  </w:style>
  <w:style w:type="character" w:styleId="21">
    <w:name w:val="Hyperlink"/>
    <w:qFormat/>
    <w:uiPriority w:val="99"/>
    <w:rPr>
      <w:color w:val="0000FF"/>
      <w:u w:val="single"/>
    </w:rPr>
  </w:style>
  <w:style w:type="character" w:styleId="22">
    <w:name w:val="annotation reference"/>
    <w:semiHidden/>
    <w:qFormat/>
    <w:uiPriority w:val="0"/>
    <w:rPr>
      <w:sz w:val="21"/>
      <w:szCs w:val="21"/>
    </w:rPr>
  </w:style>
  <w:style w:type="paragraph" w:customStyle="1" w:styleId="23">
    <w:name w:val="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4">
    <w:name w:val="目录 11"/>
    <w:basedOn w:val="1"/>
    <w:next w:val="1"/>
    <w:semiHidden/>
    <w:qFormat/>
    <w:uiPriority w:val="0"/>
    <w:pPr>
      <w:spacing w:before="120" w:after="120"/>
      <w:jc w:val="left"/>
    </w:pPr>
    <w:rPr>
      <w:b/>
      <w:bCs/>
      <w:caps/>
      <w:sz w:val="20"/>
      <w:szCs w:val="20"/>
    </w:rPr>
  </w:style>
  <w:style w:type="paragraph" w:customStyle="1" w:styleId="25">
    <w:name w:val="标准用正文"/>
    <w:basedOn w:val="1"/>
    <w:qFormat/>
    <w:uiPriority w:val="0"/>
    <w:pPr>
      <w:wordWrap w:val="0"/>
      <w:topLinePunct/>
      <w:autoSpaceDE w:val="0"/>
      <w:autoSpaceDN w:val="0"/>
      <w:snapToGrid w:val="0"/>
      <w:spacing w:line="360" w:lineRule="exact"/>
    </w:pPr>
    <w:rPr>
      <w:snapToGrid w:val="0"/>
      <w:szCs w:val="21"/>
    </w:rPr>
  </w:style>
  <w:style w:type="paragraph" w:customStyle="1" w:styleId="26">
    <w:name w:val="Char Char Char Char Char Char Char"/>
    <w:basedOn w:val="1"/>
    <w:qFormat/>
    <w:uiPriority w:val="0"/>
    <w:pPr>
      <w:widowControl/>
      <w:topLinePunct/>
      <w:adjustRightInd w:val="0"/>
      <w:spacing w:after="160" w:line="240" w:lineRule="exact"/>
      <w:jc w:val="left"/>
    </w:pPr>
    <w:rPr>
      <w:rFonts w:ascii="Arial" w:hAnsi="Arial" w:eastAsia="Times New Roman" w:cs="Verdana"/>
      <w:b/>
      <w:kern w:val="0"/>
      <w:sz w:val="24"/>
      <w:lang w:eastAsia="en-US"/>
    </w:rPr>
  </w:style>
  <w:style w:type="paragraph" w:customStyle="1" w:styleId="27">
    <w:name w:val="分条 Char"/>
    <w:basedOn w:val="1"/>
    <w:link w:val="28"/>
    <w:qFormat/>
    <w:uiPriority w:val="0"/>
    <w:pPr>
      <w:spacing w:line="360" w:lineRule="auto"/>
      <w:ind w:firstLine="200" w:firstLineChars="200"/>
    </w:pPr>
    <w:rPr>
      <w:sz w:val="24"/>
    </w:rPr>
  </w:style>
  <w:style w:type="character" w:customStyle="1" w:styleId="28">
    <w:name w:val="分条 Char Char"/>
    <w:link w:val="27"/>
    <w:qFormat/>
    <w:uiPriority w:val="0"/>
    <w:rPr>
      <w:rFonts w:eastAsia="宋体"/>
      <w:kern w:val="2"/>
      <w:sz w:val="24"/>
      <w:szCs w:val="24"/>
      <w:lang w:val="en-US" w:eastAsia="zh-CN" w:bidi="ar-SA"/>
    </w:rPr>
  </w:style>
  <w:style w:type="paragraph" w:customStyle="1" w:styleId="29">
    <w:name w:val="分条"/>
    <w:basedOn w:val="1"/>
    <w:qFormat/>
    <w:uiPriority w:val="0"/>
    <w:pPr>
      <w:spacing w:line="360" w:lineRule="auto"/>
      <w:ind w:firstLine="200" w:firstLineChars="200"/>
    </w:pPr>
    <w:rPr>
      <w:sz w:val="24"/>
    </w:rPr>
  </w:style>
  <w:style w:type="paragraph" w:customStyle="1" w:styleId="30">
    <w:name w:val="条文"/>
    <w:basedOn w:val="1"/>
    <w:qFormat/>
    <w:uiPriority w:val="0"/>
    <w:pPr>
      <w:spacing w:line="300" w:lineRule="auto"/>
      <w:outlineLvl w:val="2"/>
    </w:pPr>
    <w:rPr>
      <w:sz w:val="24"/>
    </w:rPr>
  </w:style>
  <w:style w:type="paragraph" w:customStyle="1" w:styleId="31">
    <w:name w:val="表头"/>
    <w:basedOn w:val="1"/>
    <w:link w:val="32"/>
    <w:qFormat/>
    <w:uiPriority w:val="0"/>
    <w:pPr>
      <w:spacing w:before="156" w:beforeLines="50" w:after="156" w:afterLines="50" w:line="300" w:lineRule="auto"/>
      <w:jc w:val="center"/>
    </w:pPr>
    <w:rPr>
      <w:b/>
      <w:bCs/>
      <w:szCs w:val="21"/>
    </w:rPr>
  </w:style>
  <w:style w:type="character" w:customStyle="1" w:styleId="32">
    <w:name w:val="表头 Char"/>
    <w:link w:val="31"/>
    <w:qFormat/>
    <w:uiPriority w:val="0"/>
    <w:rPr>
      <w:rFonts w:eastAsia="宋体"/>
      <w:b/>
      <w:bCs/>
      <w:kern w:val="2"/>
      <w:sz w:val="21"/>
      <w:szCs w:val="21"/>
      <w:lang w:val="en-US" w:eastAsia="zh-CN" w:bidi="ar-SA"/>
    </w:rPr>
  </w:style>
  <w:style w:type="paragraph" w:customStyle="1" w:styleId="33">
    <w:name w:val="注"/>
    <w:basedOn w:val="1"/>
    <w:qFormat/>
    <w:uiPriority w:val="0"/>
    <w:pPr>
      <w:ind w:left="788" w:leftChars="200" w:hanging="368" w:hangingChars="175"/>
    </w:pPr>
    <w:rPr>
      <w:szCs w:val="21"/>
    </w:rPr>
  </w:style>
  <w:style w:type="paragraph" w:customStyle="1" w:styleId="34">
    <w:name w:val="表"/>
    <w:basedOn w:val="1"/>
    <w:qFormat/>
    <w:uiPriority w:val="0"/>
    <w:pPr>
      <w:spacing w:line="300" w:lineRule="auto"/>
      <w:jc w:val="center"/>
    </w:pPr>
    <w:rPr>
      <w:bCs/>
      <w:szCs w:val="21"/>
    </w:rPr>
  </w:style>
  <w:style w:type="paragraph" w:customStyle="1" w:styleId="35">
    <w:name w:val="样式 标题 1国家标准标题 1 + 首行缩进:  0.99 厘米"/>
    <w:basedOn w:val="2"/>
    <w:qFormat/>
    <w:uiPriority w:val="0"/>
    <w:pPr>
      <w:topLinePunct/>
      <w:adjustRightInd w:val="0"/>
      <w:snapToGrid w:val="0"/>
      <w:spacing w:before="156" w:beforeLines="50" w:after="156" w:afterLines="50" w:line="360" w:lineRule="auto"/>
      <w:jc w:val="center"/>
    </w:pPr>
    <w:rPr>
      <w:rFonts w:ascii="黑体" w:eastAsia="黑体"/>
      <w:b w:val="0"/>
      <w:bCs w:val="0"/>
      <w:snapToGrid w:val="0"/>
      <w:sz w:val="28"/>
      <w:szCs w:val="20"/>
    </w:rPr>
  </w:style>
  <w:style w:type="character" w:customStyle="1" w:styleId="36">
    <w:name w:val="页眉 字符"/>
    <w:link w:val="11"/>
    <w:semiHidden/>
    <w:qFormat/>
    <w:uiPriority w:val="0"/>
    <w:rPr>
      <w:rFonts w:eastAsia="宋体"/>
      <w:kern w:val="2"/>
      <w:sz w:val="18"/>
      <w:szCs w:val="18"/>
      <w:lang w:val="en-US" w:eastAsia="zh-CN" w:bidi="ar-SA"/>
    </w:rPr>
  </w:style>
  <w:style w:type="paragraph" w:customStyle="1" w:styleId="37">
    <w:name w:val="目录 21"/>
    <w:basedOn w:val="1"/>
    <w:next w:val="1"/>
    <w:semiHidden/>
    <w:qFormat/>
    <w:uiPriority w:val="0"/>
    <w:pPr>
      <w:tabs>
        <w:tab w:val="right" w:leader="dot" w:pos="8296"/>
      </w:tabs>
      <w:ind w:left="210"/>
      <w:jc w:val="left"/>
    </w:pPr>
    <w:rPr>
      <w:smallCaps/>
      <w:sz w:val="20"/>
      <w:szCs w:val="20"/>
    </w:rPr>
  </w:style>
  <w:style w:type="paragraph" w:customStyle="1" w:styleId="38">
    <w:name w:val="章"/>
    <w:basedOn w:val="1"/>
    <w:link w:val="41"/>
    <w:qFormat/>
    <w:uiPriority w:val="0"/>
    <w:pPr>
      <w:spacing w:beforeLines="100" w:afterLines="100" w:line="300" w:lineRule="auto"/>
      <w:jc w:val="center"/>
      <w:outlineLvl w:val="0"/>
    </w:pPr>
    <w:rPr>
      <w:b/>
      <w:bCs/>
      <w:sz w:val="28"/>
      <w:szCs w:val="28"/>
    </w:rPr>
  </w:style>
  <w:style w:type="paragraph" w:customStyle="1" w:styleId="39">
    <w:name w:val="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40">
    <w:name w:val="目录 41"/>
    <w:basedOn w:val="1"/>
    <w:next w:val="1"/>
    <w:semiHidden/>
    <w:qFormat/>
    <w:uiPriority w:val="0"/>
    <w:pPr>
      <w:ind w:left="630"/>
      <w:jc w:val="left"/>
    </w:pPr>
    <w:rPr>
      <w:sz w:val="18"/>
      <w:szCs w:val="18"/>
    </w:rPr>
  </w:style>
  <w:style w:type="character" w:customStyle="1" w:styleId="41">
    <w:name w:val="章 Char"/>
    <w:link w:val="38"/>
    <w:qFormat/>
    <w:uiPriority w:val="0"/>
    <w:rPr>
      <w:rFonts w:eastAsia="宋体"/>
      <w:b/>
      <w:bCs/>
      <w:kern w:val="2"/>
      <w:sz w:val="28"/>
      <w:szCs w:val="28"/>
      <w:lang w:val="en-US" w:eastAsia="zh-CN" w:bidi="ar-SA"/>
    </w:rPr>
  </w:style>
  <w:style w:type="paragraph" w:customStyle="1" w:styleId="42">
    <w:name w:val="Char1 Char Char Char"/>
    <w:basedOn w:val="1"/>
    <w:qFormat/>
    <w:uiPriority w:val="0"/>
    <w:pPr>
      <w:widowControl/>
      <w:spacing w:after="160" w:line="240" w:lineRule="exact"/>
      <w:ind w:firstLine="200" w:firstLineChars="200"/>
      <w:jc w:val="left"/>
    </w:pPr>
    <w:rPr>
      <w:szCs w:val="20"/>
    </w:rPr>
  </w:style>
  <w:style w:type="paragraph" w:customStyle="1" w:styleId="43">
    <w:name w:val="目录 31"/>
    <w:basedOn w:val="1"/>
    <w:next w:val="1"/>
    <w:semiHidden/>
    <w:qFormat/>
    <w:uiPriority w:val="0"/>
    <w:pPr>
      <w:ind w:left="420"/>
      <w:jc w:val="left"/>
    </w:pPr>
    <w:rPr>
      <w:i/>
      <w:iCs/>
      <w:sz w:val="20"/>
      <w:szCs w:val="20"/>
    </w:rPr>
  </w:style>
  <w:style w:type="paragraph" w:customStyle="1" w:styleId="44">
    <w:name w:val="目录 51"/>
    <w:basedOn w:val="1"/>
    <w:next w:val="1"/>
    <w:semiHidden/>
    <w:qFormat/>
    <w:uiPriority w:val="0"/>
    <w:pPr>
      <w:ind w:left="840"/>
      <w:jc w:val="left"/>
    </w:pPr>
    <w:rPr>
      <w:sz w:val="18"/>
      <w:szCs w:val="18"/>
    </w:rPr>
  </w:style>
  <w:style w:type="paragraph" w:customStyle="1" w:styleId="45">
    <w:name w:val="目录 61"/>
    <w:basedOn w:val="1"/>
    <w:next w:val="1"/>
    <w:semiHidden/>
    <w:qFormat/>
    <w:uiPriority w:val="0"/>
    <w:pPr>
      <w:ind w:left="1050"/>
      <w:jc w:val="left"/>
    </w:pPr>
    <w:rPr>
      <w:sz w:val="18"/>
      <w:szCs w:val="18"/>
    </w:rPr>
  </w:style>
  <w:style w:type="paragraph" w:customStyle="1" w:styleId="46">
    <w:name w:val="目录 71"/>
    <w:basedOn w:val="1"/>
    <w:next w:val="1"/>
    <w:semiHidden/>
    <w:qFormat/>
    <w:uiPriority w:val="0"/>
    <w:pPr>
      <w:ind w:left="1260"/>
      <w:jc w:val="left"/>
    </w:pPr>
    <w:rPr>
      <w:sz w:val="18"/>
      <w:szCs w:val="18"/>
    </w:rPr>
  </w:style>
  <w:style w:type="paragraph" w:customStyle="1" w:styleId="47">
    <w:name w:val="目录 81"/>
    <w:basedOn w:val="1"/>
    <w:next w:val="1"/>
    <w:semiHidden/>
    <w:qFormat/>
    <w:uiPriority w:val="0"/>
    <w:pPr>
      <w:ind w:left="1470"/>
      <w:jc w:val="left"/>
    </w:pPr>
    <w:rPr>
      <w:sz w:val="18"/>
      <w:szCs w:val="18"/>
    </w:rPr>
  </w:style>
  <w:style w:type="paragraph" w:customStyle="1" w:styleId="48">
    <w:name w:val="目录 91"/>
    <w:basedOn w:val="1"/>
    <w:next w:val="1"/>
    <w:semiHidden/>
    <w:qFormat/>
    <w:uiPriority w:val="0"/>
    <w:pPr>
      <w:ind w:left="1680"/>
      <w:jc w:val="left"/>
    </w:pPr>
    <w:rPr>
      <w:sz w:val="18"/>
      <w:szCs w:val="18"/>
    </w:rPr>
  </w:style>
  <w:style w:type="paragraph" w:customStyle="1" w:styleId="49">
    <w:name w:val="修订1"/>
    <w:hidden/>
    <w:semiHidden/>
    <w:qFormat/>
    <w:uiPriority w:val="99"/>
    <w:rPr>
      <w:rFonts w:ascii="Times New Roman" w:hAnsi="Times New Roman" w:eastAsia="宋体" w:cs="Times New Roman"/>
      <w:kern w:val="2"/>
      <w:sz w:val="21"/>
      <w:szCs w:val="24"/>
      <w:lang w:val="en-US" w:eastAsia="zh-CN" w:bidi="ar-SA"/>
    </w:rPr>
  </w:style>
  <w:style w:type="paragraph" w:styleId="50">
    <w:name w:val="List Paragraph"/>
    <w:basedOn w:val="1"/>
    <w:qFormat/>
    <w:uiPriority w:val="1"/>
    <w:pPr>
      <w:ind w:left="130" w:hanging="656"/>
    </w:pPr>
  </w:style>
  <w:style w:type="paragraph" w:customStyle="1" w:styleId="51">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52">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53">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wmf"/><Relationship Id="rId16" Type="http://schemas.openxmlformats.org/officeDocument/2006/relationships/oleObject" Target="embeddings/oleObject2.bin"/><Relationship Id="rId15" Type="http://schemas.openxmlformats.org/officeDocument/2006/relationships/image" Target="media/image2.wmf"/><Relationship Id="rId14" Type="http://schemas.openxmlformats.org/officeDocument/2006/relationships/oleObject" Target="embeddings/oleObject1.bin"/><Relationship Id="rId13" Type="http://schemas.openxmlformats.org/officeDocument/2006/relationships/image" Target="media/image1.emf"/><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58BD0D-83B9-4E82-9CE8-9C5F9F1BB4F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27</Pages>
  <Words>12299</Words>
  <Characters>14709</Characters>
  <Lines>90</Lines>
  <Paragraphs>77</Paragraphs>
  <TotalTime>16</TotalTime>
  <ScaleCrop>false</ScaleCrop>
  <LinksUpToDate>false</LinksUpToDate>
  <CharactersWithSpaces>15480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2025-07-10T22:48:00Z</dcterms:created>
  <dc:creator>微软用户</dc:creator>
  <cp:lastModifiedBy>陈文昕</cp:lastModifiedBy>
  <cp:lastPrinted>2026-06-30T02:20:25Z</cp:lastPrinted>
  <dcterms:modified xsi:type="dcterms:W3CDTF">2026-06-30T06:05:26Z</dcterms:modified>
  <dc:title>1  术语</dc:title>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94BB40DAAFCA4065AD0C6368F7F255F9_13</vt:lpwstr>
  </property>
  <property fmtid="{D5CDD505-2E9C-101B-9397-08002B2CF9AE}" pid="4" name="KSOTemplateDocerSaveRecord">
    <vt:lpwstr>eyJoZGlkIjoiNWVhYWI4NTJmMDcwNmRmZjhjM2I0ZGJhYTNkYjUzMWEiLCJ1c2VySWQiOiIzMjY1MjczMzIifQ==</vt:lpwstr>
  </property>
</Properties>
</file>